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F7ED2" w14:textId="52268223" w:rsidR="00EA1089" w:rsidRDefault="003C350B" w:rsidP="003C350B">
      <w:pPr>
        <w:pStyle w:val="Title"/>
        <w:jc w:val="center"/>
        <w:rPr>
          <w:sz w:val="36"/>
        </w:rPr>
      </w:pPr>
      <w:r w:rsidRPr="00FD120E">
        <w:rPr>
          <w:sz w:val="36"/>
        </w:rPr>
        <w:t>Textbook Transformation Grants</w:t>
      </w:r>
      <w:r w:rsidR="00324AAC">
        <w:rPr>
          <w:sz w:val="36"/>
        </w:rPr>
        <w:t>:</w:t>
      </w:r>
      <w:r w:rsidRPr="00FD120E">
        <w:rPr>
          <w:sz w:val="36"/>
        </w:rPr>
        <w:t xml:space="preserve"> </w:t>
      </w:r>
      <w:r w:rsidR="00984C21">
        <w:rPr>
          <w:sz w:val="36"/>
        </w:rPr>
        <w:t>Departmental Scaling Invitations</w:t>
      </w:r>
    </w:p>
    <w:p w14:paraId="7C510BB0" w14:textId="294ECC9F" w:rsidR="003C350B" w:rsidRPr="00FD120E" w:rsidRDefault="003C350B" w:rsidP="003C350B">
      <w:pPr>
        <w:pStyle w:val="Title"/>
        <w:jc w:val="center"/>
        <w:rPr>
          <w:sz w:val="36"/>
        </w:rPr>
      </w:pPr>
      <w:r w:rsidRPr="00FD120E">
        <w:rPr>
          <w:sz w:val="36"/>
        </w:rPr>
        <w:t>(</w:t>
      </w:r>
      <w:r w:rsidR="005C30D8">
        <w:rPr>
          <w:sz w:val="36"/>
        </w:rPr>
        <w:t>Spring 2020</w:t>
      </w:r>
      <w:r w:rsidR="00EA1089">
        <w:rPr>
          <w:sz w:val="36"/>
        </w:rPr>
        <w:t xml:space="preserve"> –</w:t>
      </w:r>
      <w:r w:rsidR="005C30D8">
        <w:rPr>
          <w:sz w:val="36"/>
        </w:rPr>
        <w:t xml:space="preserve"> Spring</w:t>
      </w:r>
      <w:r w:rsidR="0082497C">
        <w:rPr>
          <w:sz w:val="36"/>
        </w:rPr>
        <w:t xml:space="preserve">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15966D9D" w14:textId="77777777" w:rsidR="003C350B" w:rsidRDefault="00F56A94" w:rsidP="00725343">
      <w:pPr>
        <w:pStyle w:val="Heading1"/>
        <w:jc w:val="left"/>
      </w:pPr>
      <w:r>
        <w:t>Applicant, T</w:t>
      </w:r>
      <w:r w:rsidR="003C350B">
        <w:t>eam</w:t>
      </w:r>
      <w:r>
        <w:t>, and Sponsor</w:t>
      </w:r>
      <w:r w:rsidR="003C350B">
        <w:t xml:space="preserve"> Information</w:t>
      </w:r>
    </w:p>
    <w:p w14:paraId="46F7D648" w14:textId="77777777"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 – if so, leave the submitter fields blank. </w:t>
      </w:r>
    </w:p>
    <w:tbl>
      <w:tblPr>
        <w:tblStyle w:val="TableGrid"/>
        <w:tblW w:w="0" w:type="auto"/>
        <w:tblLook w:val="0480" w:firstRow="0" w:lastRow="0" w:firstColumn="1" w:lastColumn="0" w:noHBand="0" w:noVBand="1"/>
        <w:tblCaption w:val="Applicant form field"/>
        <w:tblDescription w:val="Table for entering applicant information"/>
      </w:tblPr>
      <w:tblGrid>
        <w:gridCol w:w="2965"/>
        <w:gridCol w:w="6385"/>
      </w:tblGrid>
      <w:tr w:rsidR="00725343" w14:paraId="49434CA9" w14:textId="77777777" w:rsidTr="00767F01">
        <w:tc>
          <w:tcPr>
            <w:tcW w:w="2965" w:type="dxa"/>
          </w:tcPr>
          <w:p w14:paraId="2CE4757A" w14:textId="77777777" w:rsidR="00725343" w:rsidRDefault="00725343" w:rsidP="00725343">
            <w:pPr>
              <w:jc w:val="left"/>
            </w:pPr>
            <w:r>
              <w:t>Institution(s)</w:t>
            </w:r>
          </w:p>
        </w:tc>
        <w:tc>
          <w:tcPr>
            <w:tcW w:w="6385" w:type="dxa"/>
          </w:tcPr>
          <w:p w14:paraId="537BA3AF" w14:textId="0C62502D" w:rsidR="00725343" w:rsidRDefault="00A02C4A" w:rsidP="00725343">
            <w:pPr>
              <w:jc w:val="left"/>
            </w:pPr>
            <w:r>
              <w:t>Georgia State University</w:t>
            </w:r>
          </w:p>
        </w:tc>
      </w:tr>
      <w:tr w:rsidR="00725343" w14:paraId="06EFE5C2" w14:textId="77777777" w:rsidTr="00767F01">
        <w:tc>
          <w:tcPr>
            <w:tcW w:w="2965" w:type="dxa"/>
          </w:tcPr>
          <w:p w14:paraId="35E0D24D" w14:textId="77777777" w:rsidR="00725343" w:rsidRDefault="00725343" w:rsidP="00725343">
            <w:pPr>
              <w:jc w:val="left"/>
            </w:pPr>
            <w:r>
              <w:t>Applicant Name</w:t>
            </w:r>
          </w:p>
        </w:tc>
        <w:tc>
          <w:tcPr>
            <w:tcW w:w="6385" w:type="dxa"/>
          </w:tcPr>
          <w:p w14:paraId="0CF0A4D3" w14:textId="1B7D4977" w:rsidR="00725343" w:rsidRDefault="00A02C4A" w:rsidP="00725343">
            <w:pPr>
              <w:jc w:val="left"/>
            </w:pPr>
            <w:r>
              <w:t>Jung Ha Kim</w:t>
            </w:r>
          </w:p>
        </w:tc>
      </w:tr>
      <w:tr w:rsidR="00725343" w14:paraId="0D5BF13C" w14:textId="77777777" w:rsidTr="00767F01">
        <w:tc>
          <w:tcPr>
            <w:tcW w:w="2965" w:type="dxa"/>
          </w:tcPr>
          <w:p w14:paraId="3C4DF24F" w14:textId="77777777" w:rsidR="00725343" w:rsidRDefault="00725343" w:rsidP="00725343">
            <w:pPr>
              <w:jc w:val="left"/>
            </w:pPr>
            <w:r>
              <w:t xml:space="preserve">Applicant Email </w:t>
            </w:r>
          </w:p>
        </w:tc>
        <w:tc>
          <w:tcPr>
            <w:tcW w:w="6385" w:type="dxa"/>
          </w:tcPr>
          <w:p w14:paraId="15558855" w14:textId="0CCEF0F6" w:rsidR="00725343" w:rsidRDefault="00A02C4A" w:rsidP="00725343">
            <w:pPr>
              <w:jc w:val="left"/>
            </w:pPr>
            <w:r>
              <w:t>jhkim@gsu.edu</w:t>
            </w:r>
          </w:p>
        </w:tc>
      </w:tr>
      <w:tr w:rsidR="00725343" w14:paraId="37F890B2" w14:textId="77777777" w:rsidTr="00767F01">
        <w:tc>
          <w:tcPr>
            <w:tcW w:w="2965" w:type="dxa"/>
          </w:tcPr>
          <w:p w14:paraId="1B4241CC" w14:textId="77777777" w:rsidR="00725343" w:rsidRDefault="00725343" w:rsidP="00725343">
            <w:pPr>
              <w:jc w:val="left"/>
            </w:pPr>
            <w:r>
              <w:t>Applicant Phone #</w:t>
            </w:r>
          </w:p>
        </w:tc>
        <w:tc>
          <w:tcPr>
            <w:tcW w:w="6385" w:type="dxa"/>
          </w:tcPr>
          <w:p w14:paraId="57E2EF06" w14:textId="03B5C5DF" w:rsidR="00725343" w:rsidRDefault="00A02C4A" w:rsidP="00725343">
            <w:pPr>
              <w:jc w:val="left"/>
            </w:pPr>
            <w:r>
              <w:t>404-413-6518</w:t>
            </w:r>
          </w:p>
        </w:tc>
      </w:tr>
      <w:tr w:rsidR="00725343" w14:paraId="23C54C6A" w14:textId="77777777" w:rsidTr="00767F01">
        <w:tc>
          <w:tcPr>
            <w:tcW w:w="2965" w:type="dxa"/>
          </w:tcPr>
          <w:p w14:paraId="55D3DC7F" w14:textId="77777777" w:rsidR="00725343" w:rsidRDefault="00725343" w:rsidP="00725343">
            <w:pPr>
              <w:jc w:val="left"/>
            </w:pPr>
            <w:r>
              <w:t>Applicant Position/Title</w:t>
            </w:r>
          </w:p>
        </w:tc>
        <w:tc>
          <w:tcPr>
            <w:tcW w:w="6385" w:type="dxa"/>
          </w:tcPr>
          <w:p w14:paraId="3BBEDA31" w14:textId="7EA35C5E" w:rsidR="00725343" w:rsidRDefault="00A02C4A" w:rsidP="00725343">
            <w:pPr>
              <w:jc w:val="left"/>
            </w:pPr>
            <w:r>
              <w:t>Director of Undergraduate Studies in the Department of Sociology</w:t>
            </w:r>
          </w:p>
        </w:tc>
      </w:tr>
      <w:tr w:rsidR="00725343" w14:paraId="10A32EF3" w14:textId="77777777" w:rsidTr="00767F01">
        <w:tc>
          <w:tcPr>
            <w:tcW w:w="2965" w:type="dxa"/>
          </w:tcPr>
          <w:p w14:paraId="63114457" w14:textId="77777777" w:rsidR="00725343" w:rsidRDefault="00725343" w:rsidP="00F56A94">
            <w:pPr>
              <w:jc w:val="left"/>
            </w:pPr>
            <w:r>
              <w:t xml:space="preserve">Submitter Name </w:t>
            </w:r>
          </w:p>
        </w:tc>
        <w:tc>
          <w:tcPr>
            <w:tcW w:w="6385" w:type="dxa"/>
          </w:tcPr>
          <w:p w14:paraId="2877A289" w14:textId="77777777" w:rsidR="00725343" w:rsidRDefault="00725343" w:rsidP="00725343">
            <w:pPr>
              <w:jc w:val="left"/>
            </w:pPr>
          </w:p>
        </w:tc>
      </w:tr>
      <w:tr w:rsidR="00725343" w14:paraId="74225360" w14:textId="77777777" w:rsidTr="00767F01">
        <w:tc>
          <w:tcPr>
            <w:tcW w:w="2965" w:type="dxa"/>
          </w:tcPr>
          <w:p w14:paraId="5F4CD733" w14:textId="77777777" w:rsidR="00725343" w:rsidRDefault="00725343" w:rsidP="00F56A94">
            <w:pPr>
              <w:jc w:val="left"/>
            </w:pPr>
            <w:r>
              <w:t xml:space="preserve">Submitter Email </w:t>
            </w:r>
          </w:p>
        </w:tc>
        <w:tc>
          <w:tcPr>
            <w:tcW w:w="6385" w:type="dxa"/>
          </w:tcPr>
          <w:p w14:paraId="21E89ED7" w14:textId="77777777" w:rsidR="00725343" w:rsidRDefault="00725343" w:rsidP="00725343">
            <w:pPr>
              <w:jc w:val="left"/>
            </w:pPr>
          </w:p>
        </w:tc>
      </w:tr>
      <w:tr w:rsidR="00725343" w14:paraId="7391801D" w14:textId="77777777" w:rsidTr="00767F01">
        <w:tc>
          <w:tcPr>
            <w:tcW w:w="2965" w:type="dxa"/>
          </w:tcPr>
          <w:p w14:paraId="63E58FB2" w14:textId="77777777" w:rsidR="00725343" w:rsidRDefault="00725343" w:rsidP="00F56A94">
            <w:pPr>
              <w:jc w:val="left"/>
            </w:pPr>
            <w:r>
              <w:t xml:space="preserve">Submitter Phone # </w:t>
            </w:r>
          </w:p>
        </w:tc>
        <w:tc>
          <w:tcPr>
            <w:tcW w:w="6385" w:type="dxa"/>
          </w:tcPr>
          <w:p w14:paraId="78C68962" w14:textId="77777777" w:rsidR="00725343" w:rsidRDefault="00725343" w:rsidP="00725343">
            <w:pPr>
              <w:jc w:val="left"/>
            </w:pPr>
          </w:p>
        </w:tc>
      </w:tr>
      <w:tr w:rsidR="00725343" w14:paraId="77A275E4" w14:textId="77777777" w:rsidTr="00767F01">
        <w:tc>
          <w:tcPr>
            <w:tcW w:w="2965" w:type="dxa"/>
          </w:tcPr>
          <w:p w14:paraId="2FECE121" w14:textId="77777777" w:rsidR="00725343" w:rsidRDefault="00725343" w:rsidP="00F56A94">
            <w:pPr>
              <w:jc w:val="left"/>
            </w:pPr>
            <w:r>
              <w:t xml:space="preserve">Submitter Position </w:t>
            </w:r>
          </w:p>
        </w:tc>
        <w:tc>
          <w:tcPr>
            <w:tcW w:w="6385" w:type="dxa"/>
          </w:tcPr>
          <w:p w14:paraId="2D858DED" w14:textId="77777777" w:rsidR="00725343" w:rsidRDefault="00725343" w:rsidP="00725343">
            <w:pPr>
              <w:jc w:val="left"/>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TableGrid"/>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767F01">
        <w:trPr>
          <w:tblHeader/>
        </w:trPr>
        <w:tc>
          <w:tcPr>
            <w:tcW w:w="3116" w:type="dxa"/>
          </w:tcPr>
          <w:p w14:paraId="23AFD59B" w14:textId="77777777" w:rsidR="00725343" w:rsidRDefault="00725343" w:rsidP="00725343">
            <w:pPr>
              <w:jc w:val="left"/>
            </w:pPr>
          </w:p>
        </w:tc>
        <w:tc>
          <w:tcPr>
            <w:tcW w:w="3117" w:type="dxa"/>
          </w:tcPr>
          <w:p w14:paraId="2BA264BD" w14:textId="77777777" w:rsidR="00725343" w:rsidRDefault="00725343" w:rsidP="00725343">
            <w:pPr>
              <w:jc w:val="left"/>
            </w:pPr>
            <w:r>
              <w:t>Name</w:t>
            </w:r>
          </w:p>
        </w:tc>
        <w:tc>
          <w:tcPr>
            <w:tcW w:w="3117" w:type="dxa"/>
          </w:tcPr>
          <w:p w14:paraId="0FFF80CD" w14:textId="77777777" w:rsidR="00725343" w:rsidRDefault="00725343" w:rsidP="00725343">
            <w:pPr>
              <w:jc w:val="left"/>
            </w:pPr>
            <w:r>
              <w:t>Email Address</w:t>
            </w:r>
          </w:p>
        </w:tc>
      </w:tr>
      <w:tr w:rsidR="00725343" w14:paraId="47DCF721" w14:textId="77777777" w:rsidTr="00725343">
        <w:tc>
          <w:tcPr>
            <w:tcW w:w="3116" w:type="dxa"/>
          </w:tcPr>
          <w:p w14:paraId="1FE898F0" w14:textId="77777777" w:rsidR="00725343" w:rsidRDefault="00725343" w:rsidP="00725343">
            <w:pPr>
              <w:jc w:val="left"/>
            </w:pPr>
            <w:r>
              <w:t>Team Member 1</w:t>
            </w:r>
          </w:p>
        </w:tc>
        <w:tc>
          <w:tcPr>
            <w:tcW w:w="3117" w:type="dxa"/>
          </w:tcPr>
          <w:p w14:paraId="393FFEE9" w14:textId="2F46FE8F" w:rsidR="00725343" w:rsidRDefault="00A02C4A" w:rsidP="00A02C4A">
            <w:pPr>
              <w:jc w:val="left"/>
            </w:pPr>
            <w:r>
              <w:t>Sarah Miranda Hepler</w:t>
            </w:r>
          </w:p>
        </w:tc>
        <w:tc>
          <w:tcPr>
            <w:tcW w:w="3117" w:type="dxa"/>
          </w:tcPr>
          <w:p w14:paraId="672314AC" w14:textId="5E3C705E" w:rsidR="00725343" w:rsidRDefault="00A02C4A" w:rsidP="00A02C4A">
            <w:pPr>
              <w:jc w:val="left"/>
            </w:pPr>
            <w:r w:rsidRPr="00A02C4A">
              <w:t>shepler2@gsu.edu</w:t>
            </w:r>
          </w:p>
        </w:tc>
      </w:tr>
      <w:tr w:rsidR="00725343" w14:paraId="271B5C15" w14:textId="77777777" w:rsidTr="00725343">
        <w:tc>
          <w:tcPr>
            <w:tcW w:w="3116" w:type="dxa"/>
          </w:tcPr>
          <w:p w14:paraId="0301955E" w14:textId="77777777" w:rsidR="00725343" w:rsidRDefault="00725343" w:rsidP="00725343">
            <w:pPr>
              <w:jc w:val="left"/>
            </w:pPr>
            <w:r>
              <w:t>Team Member 2</w:t>
            </w:r>
          </w:p>
        </w:tc>
        <w:tc>
          <w:tcPr>
            <w:tcW w:w="3117" w:type="dxa"/>
          </w:tcPr>
          <w:p w14:paraId="6ECBEB99" w14:textId="77777777" w:rsidR="00725343" w:rsidRDefault="00725343" w:rsidP="00725343">
            <w:pPr>
              <w:jc w:val="left"/>
            </w:pPr>
          </w:p>
        </w:tc>
        <w:tc>
          <w:tcPr>
            <w:tcW w:w="3117" w:type="dxa"/>
          </w:tcPr>
          <w:p w14:paraId="201A2C1F" w14:textId="77777777" w:rsidR="00725343" w:rsidRDefault="00725343" w:rsidP="00725343">
            <w:pPr>
              <w:jc w:val="left"/>
            </w:pPr>
          </w:p>
        </w:tc>
      </w:tr>
      <w:tr w:rsidR="00725343" w14:paraId="446EFA29" w14:textId="77777777" w:rsidTr="00725343">
        <w:tc>
          <w:tcPr>
            <w:tcW w:w="3116" w:type="dxa"/>
          </w:tcPr>
          <w:p w14:paraId="5FA85BA8" w14:textId="77777777" w:rsidR="00725343" w:rsidRDefault="00725343" w:rsidP="00725343">
            <w:pPr>
              <w:jc w:val="left"/>
            </w:pPr>
            <w:r>
              <w:t>Team Member 3</w:t>
            </w:r>
          </w:p>
        </w:tc>
        <w:tc>
          <w:tcPr>
            <w:tcW w:w="3117" w:type="dxa"/>
          </w:tcPr>
          <w:p w14:paraId="58D1278D" w14:textId="77777777" w:rsidR="00725343" w:rsidRDefault="00725343" w:rsidP="00725343">
            <w:pPr>
              <w:jc w:val="left"/>
            </w:pPr>
          </w:p>
        </w:tc>
        <w:tc>
          <w:tcPr>
            <w:tcW w:w="3117" w:type="dxa"/>
          </w:tcPr>
          <w:p w14:paraId="6AE73F29" w14:textId="77777777" w:rsidR="00725343" w:rsidRDefault="00725343" w:rsidP="00725343">
            <w:pPr>
              <w:jc w:val="left"/>
            </w:pPr>
          </w:p>
        </w:tc>
      </w:tr>
      <w:tr w:rsidR="00725343" w14:paraId="454BCFC1" w14:textId="77777777" w:rsidTr="00725343">
        <w:tc>
          <w:tcPr>
            <w:tcW w:w="3116" w:type="dxa"/>
          </w:tcPr>
          <w:p w14:paraId="707FD0E1" w14:textId="77777777" w:rsidR="00725343" w:rsidRDefault="00725343" w:rsidP="00725343">
            <w:pPr>
              <w:jc w:val="left"/>
            </w:pPr>
            <w:r>
              <w:t>Team Member 4</w:t>
            </w:r>
          </w:p>
        </w:tc>
        <w:tc>
          <w:tcPr>
            <w:tcW w:w="3117" w:type="dxa"/>
          </w:tcPr>
          <w:p w14:paraId="727D4DB5" w14:textId="77777777" w:rsidR="00725343" w:rsidRDefault="00725343" w:rsidP="00725343">
            <w:pPr>
              <w:jc w:val="left"/>
            </w:pPr>
          </w:p>
        </w:tc>
        <w:tc>
          <w:tcPr>
            <w:tcW w:w="3117" w:type="dxa"/>
          </w:tcPr>
          <w:p w14:paraId="4C1B1044" w14:textId="77777777" w:rsidR="00725343" w:rsidRDefault="00725343" w:rsidP="00725343">
            <w:pPr>
              <w:jc w:val="left"/>
            </w:pPr>
          </w:p>
        </w:tc>
      </w:tr>
      <w:tr w:rsidR="00725343" w14:paraId="1C96820C" w14:textId="77777777" w:rsidTr="00725343">
        <w:tc>
          <w:tcPr>
            <w:tcW w:w="3116" w:type="dxa"/>
          </w:tcPr>
          <w:p w14:paraId="086DEACB" w14:textId="77777777" w:rsidR="00725343" w:rsidRDefault="00725343" w:rsidP="00725343">
            <w:pPr>
              <w:jc w:val="left"/>
            </w:pPr>
            <w:r>
              <w:t>Team Member 5</w:t>
            </w:r>
          </w:p>
        </w:tc>
        <w:tc>
          <w:tcPr>
            <w:tcW w:w="3117" w:type="dxa"/>
          </w:tcPr>
          <w:p w14:paraId="7BD532C0" w14:textId="77777777" w:rsidR="00725343" w:rsidRDefault="00725343" w:rsidP="00725343">
            <w:pPr>
              <w:jc w:val="left"/>
            </w:pPr>
          </w:p>
        </w:tc>
        <w:tc>
          <w:tcPr>
            <w:tcW w:w="3117" w:type="dxa"/>
          </w:tcPr>
          <w:p w14:paraId="3D08FB1E" w14:textId="77777777" w:rsidR="00725343" w:rsidRDefault="00725343" w:rsidP="00725343">
            <w:pPr>
              <w:jc w:val="left"/>
            </w:pPr>
          </w:p>
        </w:tc>
      </w:tr>
      <w:tr w:rsidR="00725343" w14:paraId="1E363AF5" w14:textId="77777777" w:rsidTr="00725343">
        <w:tc>
          <w:tcPr>
            <w:tcW w:w="3116" w:type="dxa"/>
          </w:tcPr>
          <w:p w14:paraId="5507B929" w14:textId="77777777" w:rsidR="00725343" w:rsidRDefault="00725343" w:rsidP="00725343">
            <w:pPr>
              <w:jc w:val="left"/>
            </w:pPr>
            <w:r>
              <w:t>Team Member 6</w:t>
            </w:r>
          </w:p>
        </w:tc>
        <w:tc>
          <w:tcPr>
            <w:tcW w:w="3117" w:type="dxa"/>
          </w:tcPr>
          <w:p w14:paraId="24573994" w14:textId="77777777" w:rsidR="00725343" w:rsidRDefault="00725343" w:rsidP="00725343">
            <w:pPr>
              <w:jc w:val="left"/>
            </w:pPr>
          </w:p>
        </w:tc>
        <w:tc>
          <w:tcPr>
            <w:tcW w:w="3117" w:type="dxa"/>
          </w:tcPr>
          <w:p w14:paraId="4148BAE2" w14:textId="77777777" w:rsidR="00725343" w:rsidRDefault="00725343" w:rsidP="00725343">
            <w:pPr>
              <w:jc w:val="left"/>
            </w:pPr>
          </w:p>
        </w:tc>
      </w:tr>
      <w:tr w:rsidR="00725343" w14:paraId="435E61A7" w14:textId="77777777" w:rsidTr="00725343">
        <w:tc>
          <w:tcPr>
            <w:tcW w:w="3116" w:type="dxa"/>
          </w:tcPr>
          <w:p w14:paraId="21808E17" w14:textId="77777777" w:rsidR="00725343" w:rsidRDefault="00725343" w:rsidP="00725343">
            <w:pPr>
              <w:jc w:val="left"/>
            </w:pPr>
            <w:r>
              <w:lastRenderedPageBreak/>
              <w:t>Team Member 7</w:t>
            </w:r>
          </w:p>
        </w:tc>
        <w:tc>
          <w:tcPr>
            <w:tcW w:w="3117" w:type="dxa"/>
          </w:tcPr>
          <w:p w14:paraId="5BD7CDF6" w14:textId="77777777" w:rsidR="00725343" w:rsidRDefault="00725343" w:rsidP="00725343">
            <w:pPr>
              <w:jc w:val="left"/>
            </w:pPr>
          </w:p>
        </w:tc>
        <w:tc>
          <w:tcPr>
            <w:tcW w:w="3117" w:type="dxa"/>
          </w:tcPr>
          <w:p w14:paraId="01054CC2" w14:textId="77777777" w:rsidR="00725343" w:rsidRDefault="00725343" w:rsidP="00725343">
            <w:pPr>
              <w:jc w:val="left"/>
            </w:pPr>
          </w:p>
        </w:tc>
      </w:tr>
      <w:tr w:rsidR="0055284A" w14:paraId="7FDD5EB1" w14:textId="77777777" w:rsidTr="00725343">
        <w:tc>
          <w:tcPr>
            <w:tcW w:w="3116" w:type="dxa"/>
          </w:tcPr>
          <w:p w14:paraId="16D51FD5" w14:textId="77777777" w:rsidR="0055284A" w:rsidRDefault="0055284A" w:rsidP="00725343">
            <w:pPr>
              <w:jc w:val="left"/>
            </w:pPr>
            <w:r>
              <w:t>Team Member 8</w:t>
            </w:r>
          </w:p>
        </w:tc>
        <w:tc>
          <w:tcPr>
            <w:tcW w:w="3117" w:type="dxa"/>
          </w:tcPr>
          <w:p w14:paraId="0932FD5B" w14:textId="77777777" w:rsidR="0055284A" w:rsidRDefault="0055284A" w:rsidP="00725343">
            <w:pPr>
              <w:jc w:val="left"/>
            </w:pPr>
          </w:p>
        </w:tc>
        <w:tc>
          <w:tcPr>
            <w:tcW w:w="3117" w:type="dxa"/>
          </w:tcPr>
          <w:p w14:paraId="042E50C6" w14:textId="77777777" w:rsidR="0055284A" w:rsidRDefault="0055284A" w:rsidP="00725343">
            <w:pPr>
              <w:jc w:val="left"/>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F56A94">
        <w:tc>
          <w:tcPr>
            <w:tcW w:w="9350" w:type="dxa"/>
          </w:tcPr>
          <w:p w14:paraId="4D328FFD" w14:textId="77777777" w:rsidR="00F56A94" w:rsidRDefault="00F56A94" w:rsidP="00725343">
            <w:pPr>
              <w:jc w:val="left"/>
            </w:pPr>
          </w:p>
          <w:p w14:paraId="27CAAB49" w14:textId="77777777" w:rsidR="00F56A94" w:rsidRDefault="00F56A94" w:rsidP="00725343">
            <w:pPr>
              <w:jc w:val="left"/>
            </w:pPr>
          </w:p>
        </w:tc>
      </w:tr>
    </w:tbl>
    <w:p w14:paraId="6E14805A" w14:textId="77777777" w:rsidR="00F56A94" w:rsidRDefault="00F56A94" w:rsidP="00725343">
      <w:pPr>
        <w:jc w:val="left"/>
      </w:pPr>
    </w:p>
    <w:p w14:paraId="238CDE54" w14:textId="77777777" w:rsidR="00F56A94" w:rsidRDefault="00F56A94" w:rsidP="00725343">
      <w:pPr>
        <w:jc w:val="left"/>
      </w:pPr>
      <w:r>
        <w:t xml:space="preserve">Please provide the sponsor’s name, title, department, and institution. The sponsor is the provider of your Letter of Support.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F56A94" w14:paraId="13BA7368" w14:textId="77777777" w:rsidTr="00F56A94">
        <w:tc>
          <w:tcPr>
            <w:tcW w:w="9350" w:type="dxa"/>
          </w:tcPr>
          <w:p w14:paraId="6E3A0A10" w14:textId="363D3DDF" w:rsidR="00F56A94" w:rsidRDefault="007D796E" w:rsidP="00725343">
            <w:pPr>
              <w:jc w:val="left"/>
            </w:pPr>
            <w:r>
              <w:t>Eric Wright, Chair in</w:t>
            </w:r>
            <w:r w:rsidR="00FA7598">
              <w:t xml:space="preserve"> the Department of Sociology</w:t>
            </w:r>
            <w:r>
              <w:t xml:space="preserve"> at</w:t>
            </w:r>
            <w:r w:rsidR="00FA7598">
              <w:t xml:space="preserve"> Georgia State University.</w:t>
            </w:r>
          </w:p>
          <w:p w14:paraId="43A107F1" w14:textId="77777777" w:rsidR="00F56A94" w:rsidRDefault="00F56A94" w:rsidP="00725343">
            <w:pPr>
              <w:jc w:val="left"/>
            </w:pPr>
          </w:p>
        </w:tc>
      </w:tr>
    </w:tbl>
    <w:p w14:paraId="72EA21DD" w14:textId="77777777" w:rsidR="00F56A94" w:rsidRDefault="00F56A94" w:rsidP="00725343">
      <w:pPr>
        <w:jc w:val="left"/>
      </w:pPr>
    </w:p>
    <w:p w14:paraId="1B220742" w14:textId="77777777" w:rsidR="00F56A94" w:rsidRDefault="00F56A94" w:rsidP="00F56A94">
      <w:pPr>
        <w:pStyle w:val="Heading1"/>
      </w:pPr>
      <w:r>
        <w:t>Project Information and Impact Data</w:t>
      </w:r>
    </w:p>
    <w:p w14:paraId="037D3F14" w14:textId="77777777" w:rsidR="0055284A" w:rsidRPr="0055284A" w:rsidRDefault="0055284A" w:rsidP="0055284A"/>
    <w:tbl>
      <w:tblPr>
        <w:tblStyle w:val="TableGrid"/>
        <w:tblW w:w="0" w:type="auto"/>
        <w:tblInd w:w="5" w:type="dxa"/>
        <w:tblLook w:val="04A0" w:firstRow="1" w:lastRow="0" w:firstColumn="1" w:lastColumn="0" w:noHBand="0" w:noVBand="1"/>
        <w:tblCaption w:val="Project information and impact data form"/>
        <w:tblDescription w:val="Table for impact data of the project"/>
      </w:tblPr>
      <w:tblGrid>
        <w:gridCol w:w="3953"/>
        <w:gridCol w:w="5392"/>
      </w:tblGrid>
      <w:tr w:rsidR="007613E7" w14:paraId="1FD9FA8B" w14:textId="77777777" w:rsidTr="005C30D8">
        <w:tc>
          <w:tcPr>
            <w:tcW w:w="3953" w:type="dxa"/>
          </w:tcPr>
          <w:p w14:paraId="1EDE5A4E" w14:textId="049EE7D9" w:rsidR="007613E7" w:rsidRPr="0055284A" w:rsidRDefault="007613E7" w:rsidP="0063108D">
            <w:pPr>
              <w:jc w:val="left"/>
              <w:rPr>
                <w:b/>
              </w:rPr>
            </w:pPr>
            <w:r>
              <w:rPr>
                <w:b/>
              </w:rPr>
              <w:t>Requested Amount of Funding</w:t>
            </w:r>
          </w:p>
        </w:tc>
        <w:tc>
          <w:tcPr>
            <w:tcW w:w="5392" w:type="dxa"/>
          </w:tcPr>
          <w:p w14:paraId="533B2A7E" w14:textId="5543589F" w:rsidR="007613E7" w:rsidRPr="0055284A" w:rsidRDefault="007613E7" w:rsidP="007613E7">
            <w:pPr>
              <w:jc w:val="left"/>
              <w:rPr>
                <w:i/>
              </w:rPr>
            </w:pPr>
            <w:r w:rsidRPr="004C6D54">
              <w:rPr>
                <w:i/>
              </w:rPr>
              <w:t xml:space="preserve">$30,000 maximum for a </w:t>
            </w:r>
            <w:r>
              <w:rPr>
                <w:i/>
              </w:rPr>
              <w:t>Departmental Scaling project.</w:t>
            </w:r>
          </w:p>
        </w:tc>
      </w:tr>
      <w:tr w:rsidR="007613E7" w14:paraId="20BFFF5B" w14:textId="77777777" w:rsidTr="005C30D8">
        <w:tc>
          <w:tcPr>
            <w:tcW w:w="3953" w:type="dxa"/>
          </w:tcPr>
          <w:p w14:paraId="086D6703" w14:textId="61F4FC6B" w:rsidR="007613E7" w:rsidRDefault="007613E7" w:rsidP="0055284A">
            <w:pPr>
              <w:jc w:val="left"/>
              <w:rPr>
                <w:b/>
              </w:rPr>
            </w:pPr>
            <w:r w:rsidRPr="0055284A">
              <w:rPr>
                <w:b/>
              </w:rPr>
              <w:t>Course Names and Course Numbers</w:t>
            </w:r>
          </w:p>
        </w:tc>
        <w:tc>
          <w:tcPr>
            <w:tcW w:w="5392" w:type="dxa"/>
          </w:tcPr>
          <w:p w14:paraId="6815A0A0" w14:textId="04B6EE36" w:rsidR="007613E7" w:rsidRPr="004C6D54" w:rsidRDefault="00FA7598" w:rsidP="0055284A">
            <w:pPr>
              <w:jc w:val="left"/>
              <w:rPr>
                <w:i/>
              </w:rPr>
            </w:pPr>
            <w:r>
              <w:rPr>
                <w:i/>
              </w:rPr>
              <w:t>Introduction to Sociology, SOCI 1101</w:t>
            </w:r>
          </w:p>
        </w:tc>
      </w:tr>
      <w:tr w:rsidR="007613E7" w14:paraId="0E6A9640" w14:textId="77777777" w:rsidTr="005C30D8">
        <w:tc>
          <w:tcPr>
            <w:tcW w:w="3953" w:type="dxa"/>
          </w:tcPr>
          <w:p w14:paraId="00B408C0" w14:textId="6FDED8E3" w:rsidR="007613E7" w:rsidRPr="0055284A" w:rsidRDefault="007613E7" w:rsidP="0055284A">
            <w:pPr>
              <w:jc w:val="left"/>
              <w:rPr>
                <w:b/>
              </w:rPr>
            </w:pPr>
            <w:r w:rsidRPr="0055284A">
              <w:rPr>
                <w:b/>
              </w:rPr>
              <w:t>Final Semester of Project</w:t>
            </w:r>
          </w:p>
        </w:tc>
        <w:tc>
          <w:tcPr>
            <w:tcW w:w="5392" w:type="dxa"/>
          </w:tcPr>
          <w:p w14:paraId="15C05431" w14:textId="34449C22" w:rsidR="007613E7" w:rsidRDefault="00FA7598" w:rsidP="0055284A">
            <w:pPr>
              <w:jc w:val="left"/>
            </w:pPr>
            <w:r>
              <w:rPr>
                <w:i/>
              </w:rPr>
              <w:t xml:space="preserve">Fall 2020 </w:t>
            </w:r>
          </w:p>
        </w:tc>
      </w:tr>
      <w:tr w:rsidR="007613E7" w14:paraId="1BA82110" w14:textId="77777777" w:rsidTr="005C30D8">
        <w:tc>
          <w:tcPr>
            <w:tcW w:w="3953" w:type="dxa"/>
          </w:tcPr>
          <w:p w14:paraId="2A12C7F1" w14:textId="20DE0617" w:rsidR="007613E7" w:rsidRPr="0055284A" w:rsidRDefault="007613E7" w:rsidP="007D796E">
            <w:pPr>
              <w:jc w:val="left"/>
              <w:rPr>
                <w:b/>
              </w:rPr>
            </w:pPr>
            <w:r w:rsidRPr="00644D84">
              <w:rPr>
                <w:b/>
                <w:u w:val="single"/>
              </w:rPr>
              <w:t>Summer Semester Before</w:t>
            </w:r>
            <w:r>
              <w:rPr>
                <w:b/>
              </w:rPr>
              <w:t>: Student Enrollments Currently Affected by No-Cost / Low</w:t>
            </w:r>
            <w:r w:rsidR="007D796E">
              <w:rPr>
                <w:b/>
              </w:rPr>
              <w:t>-</w:t>
            </w:r>
            <w:r>
              <w:rPr>
                <w:b/>
              </w:rPr>
              <w:t>Cost Savings</w:t>
            </w:r>
          </w:p>
        </w:tc>
        <w:tc>
          <w:tcPr>
            <w:tcW w:w="5392" w:type="dxa"/>
          </w:tcPr>
          <w:p w14:paraId="2D8D2A9A" w14:textId="643F5CC7" w:rsidR="007613E7" w:rsidRPr="0055284A" w:rsidRDefault="00FA7598" w:rsidP="00FA7598">
            <w:pPr>
              <w:jc w:val="left"/>
              <w:rPr>
                <w:i/>
              </w:rPr>
            </w:pPr>
            <w:r>
              <w:rPr>
                <w:i/>
              </w:rPr>
              <w:t>0</w:t>
            </w:r>
            <w:r w:rsidR="007613E7">
              <w:rPr>
                <w:i/>
              </w:rPr>
              <w:t xml:space="preserve"> </w:t>
            </w:r>
          </w:p>
        </w:tc>
      </w:tr>
      <w:tr w:rsidR="007613E7" w14:paraId="0D93FD02" w14:textId="77777777" w:rsidTr="005C30D8">
        <w:tc>
          <w:tcPr>
            <w:tcW w:w="3953" w:type="dxa"/>
          </w:tcPr>
          <w:p w14:paraId="78EE0EF7" w14:textId="46D2F385" w:rsidR="007613E7" w:rsidRPr="0055284A" w:rsidRDefault="007613E7" w:rsidP="00644D84">
            <w:pPr>
              <w:jc w:val="left"/>
              <w:rPr>
                <w:b/>
              </w:rPr>
            </w:pPr>
            <w:r w:rsidRPr="00644D84">
              <w:rPr>
                <w:b/>
                <w:u w:val="single"/>
              </w:rPr>
              <w:t>Summer Semester After</w:t>
            </w:r>
            <w:r>
              <w:rPr>
                <w:b/>
              </w:rPr>
              <w:t xml:space="preserve">: Student Enrollments Affected if Scaled to Department-Wide / All-Sections </w:t>
            </w:r>
          </w:p>
        </w:tc>
        <w:tc>
          <w:tcPr>
            <w:tcW w:w="5392" w:type="dxa"/>
          </w:tcPr>
          <w:p w14:paraId="5FC116C9" w14:textId="26038A5F" w:rsidR="007613E7" w:rsidRPr="0055284A" w:rsidRDefault="00FA7598" w:rsidP="00FA7598">
            <w:pPr>
              <w:jc w:val="left"/>
              <w:rPr>
                <w:i/>
              </w:rPr>
            </w:pPr>
            <w:r>
              <w:rPr>
                <w:i/>
              </w:rPr>
              <w:t>120+ students</w:t>
            </w:r>
            <w:r w:rsidR="007613E7">
              <w:rPr>
                <w:i/>
              </w:rPr>
              <w:t xml:space="preserve">. </w:t>
            </w:r>
          </w:p>
        </w:tc>
      </w:tr>
      <w:tr w:rsidR="007613E7" w14:paraId="08B29E87" w14:textId="77777777" w:rsidTr="005C30D8">
        <w:tc>
          <w:tcPr>
            <w:tcW w:w="3953" w:type="dxa"/>
          </w:tcPr>
          <w:p w14:paraId="015DDCFE" w14:textId="55E8A655" w:rsidR="007613E7" w:rsidRPr="0055284A" w:rsidRDefault="007613E7" w:rsidP="005C30D8">
            <w:pPr>
              <w:jc w:val="left"/>
              <w:rPr>
                <w:b/>
              </w:rPr>
            </w:pPr>
            <w:r w:rsidRPr="00644D84">
              <w:rPr>
                <w:b/>
                <w:u w:val="single"/>
              </w:rPr>
              <w:t>Fall Semester Before</w:t>
            </w:r>
            <w:r>
              <w:rPr>
                <w:b/>
              </w:rPr>
              <w:t>: Student Enrollments Currently Affected by No-Cost / Low-Cost Savings</w:t>
            </w:r>
          </w:p>
        </w:tc>
        <w:tc>
          <w:tcPr>
            <w:tcW w:w="5392" w:type="dxa"/>
          </w:tcPr>
          <w:p w14:paraId="08F3B6A5" w14:textId="70D31287" w:rsidR="007613E7" w:rsidRDefault="00FA7598" w:rsidP="00FA7598">
            <w:pPr>
              <w:jc w:val="left"/>
            </w:pPr>
            <w:r>
              <w:rPr>
                <w:i/>
              </w:rPr>
              <w:t xml:space="preserve">250 students (I taught the large section of </w:t>
            </w:r>
            <w:proofErr w:type="spellStart"/>
            <w:r>
              <w:rPr>
                <w:i/>
              </w:rPr>
              <w:t>Soci</w:t>
            </w:r>
            <w:proofErr w:type="spellEnd"/>
            <w:r>
              <w:rPr>
                <w:i/>
              </w:rPr>
              <w:t xml:space="preserve"> 1101 in Fall 2019)</w:t>
            </w:r>
            <w:r w:rsidR="007613E7">
              <w:rPr>
                <w:i/>
              </w:rPr>
              <w:t xml:space="preserve"> </w:t>
            </w:r>
          </w:p>
        </w:tc>
      </w:tr>
      <w:tr w:rsidR="007613E7" w14:paraId="6A367A85" w14:textId="77777777" w:rsidTr="005C30D8">
        <w:tc>
          <w:tcPr>
            <w:tcW w:w="3953" w:type="dxa"/>
          </w:tcPr>
          <w:p w14:paraId="1B7392A8" w14:textId="24D1C1D0" w:rsidR="007613E7" w:rsidRDefault="007613E7" w:rsidP="00644D84">
            <w:pPr>
              <w:jc w:val="left"/>
              <w:rPr>
                <w:b/>
              </w:rPr>
            </w:pPr>
            <w:r w:rsidRPr="00644D84">
              <w:rPr>
                <w:b/>
                <w:u w:val="single"/>
              </w:rPr>
              <w:lastRenderedPageBreak/>
              <w:t>Fall Semester After</w:t>
            </w:r>
            <w:r>
              <w:rPr>
                <w:b/>
              </w:rPr>
              <w:t>: Student Enrollments Affected if Scaled to Department-Wide / All-Sections</w:t>
            </w:r>
          </w:p>
        </w:tc>
        <w:tc>
          <w:tcPr>
            <w:tcW w:w="5392" w:type="dxa"/>
          </w:tcPr>
          <w:p w14:paraId="3BCE08DB" w14:textId="63554ECE" w:rsidR="007613E7" w:rsidRDefault="00FA7598" w:rsidP="00FA7598">
            <w:pPr>
              <w:jc w:val="left"/>
              <w:rPr>
                <w:i/>
              </w:rPr>
            </w:pPr>
            <w:r>
              <w:rPr>
                <w:i/>
              </w:rPr>
              <w:t>500+ students</w:t>
            </w:r>
            <w:r w:rsidR="007613E7">
              <w:rPr>
                <w:i/>
              </w:rPr>
              <w:t xml:space="preserve">. </w:t>
            </w:r>
          </w:p>
        </w:tc>
      </w:tr>
      <w:tr w:rsidR="007613E7" w14:paraId="18927C61" w14:textId="77777777" w:rsidTr="005C30D8">
        <w:tc>
          <w:tcPr>
            <w:tcW w:w="3953" w:type="dxa"/>
          </w:tcPr>
          <w:p w14:paraId="76D68D7E" w14:textId="4DE24B8B" w:rsidR="007613E7" w:rsidRDefault="007613E7" w:rsidP="007D796E">
            <w:pPr>
              <w:jc w:val="left"/>
              <w:rPr>
                <w:b/>
              </w:rPr>
            </w:pPr>
            <w:r w:rsidRPr="00644D84">
              <w:rPr>
                <w:b/>
                <w:u w:val="single"/>
              </w:rPr>
              <w:t>Spring Semester Before</w:t>
            </w:r>
            <w:r>
              <w:rPr>
                <w:b/>
              </w:rPr>
              <w:t>: Student Enrollments Currently Affected by No-Cost / Low</w:t>
            </w:r>
            <w:r w:rsidR="007D796E">
              <w:rPr>
                <w:b/>
              </w:rPr>
              <w:t>-</w:t>
            </w:r>
            <w:r>
              <w:rPr>
                <w:b/>
              </w:rPr>
              <w:t>Cost Savings</w:t>
            </w:r>
          </w:p>
        </w:tc>
        <w:tc>
          <w:tcPr>
            <w:tcW w:w="5392" w:type="dxa"/>
          </w:tcPr>
          <w:p w14:paraId="1FFF19EE" w14:textId="16086B23" w:rsidR="007613E7" w:rsidRDefault="00FA7598" w:rsidP="00FA7598">
            <w:pPr>
              <w:jc w:val="left"/>
              <w:rPr>
                <w:i/>
              </w:rPr>
            </w:pPr>
            <w:r>
              <w:rPr>
                <w:i/>
              </w:rPr>
              <w:t>120 + 47 students (Spring 2020) That I know for sure.</w:t>
            </w:r>
            <w:r w:rsidR="007613E7">
              <w:rPr>
                <w:i/>
              </w:rPr>
              <w:t xml:space="preserve"> </w:t>
            </w:r>
          </w:p>
        </w:tc>
      </w:tr>
      <w:tr w:rsidR="007613E7" w14:paraId="5402EE93" w14:textId="77777777" w:rsidTr="005C30D8">
        <w:tc>
          <w:tcPr>
            <w:tcW w:w="3953" w:type="dxa"/>
          </w:tcPr>
          <w:p w14:paraId="47786411" w14:textId="4D9C110E" w:rsidR="007613E7" w:rsidRPr="0055284A" w:rsidRDefault="007613E7" w:rsidP="00644D84">
            <w:pPr>
              <w:jc w:val="left"/>
              <w:rPr>
                <w:b/>
              </w:rPr>
            </w:pPr>
            <w:r w:rsidRPr="00644D84">
              <w:rPr>
                <w:b/>
                <w:u w:val="single"/>
              </w:rPr>
              <w:t>Spring Semester After</w:t>
            </w:r>
            <w:r>
              <w:rPr>
                <w:b/>
              </w:rPr>
              <w:t>: Student Enrollments Affected if Scaled to Department-Wide / All-Sections</w:t>
            </w:r>
          </w:p>
        </w:tc>
        <w:tc>
          <w:tcPr>
            <w:tcW w:w="5392" w:type="dxa"/>
          </w:tcPr>
          <w:p w14:paraId="70A3B927" w14:textId="71DC89CA" w:rsidR="007613E7" w:rsidRDefault="00FA7598" w:rsidP="00FA7598">
            <w:pPr>
              <w:jc w:val="left"/>
            </w:pPr>
            <w:r>
              <w:rPr>
                <w:i/>
              </w:rPr>
              <w:t>300+ students</w:t>
            </w:r>
            <w:r w:rsidR="007613E7">
              <w:rPr>
                <w:i/>
              </w:rPr>
              <w:t xml:space="preserve"> </w:t>
            </w:r>
          </w:p>
        </w:tc>
      </w:tr>
      <w:tr w:rsidR="007613E7" w14:paraId="61D2FDC1" w14:textId="77777777" w:rsidTr="005C30D8">
        <w:tc>
          <w:tcPr>
            <w:tcW w:w="3953" w:type="dxa"/>
          </w:tcPr>
          <w:p w14:paraId="23641E84" w14:textId="351003DB" w:rsidR="007613E7" w:rsidRDefault="007613E7" w:rsidP="00644D84">
            <w:pPr>
              <w:jc w:val="left"/>
              <w:rPr>
                <w:b/>
              </w:rPr>
            </w:pPr>
            <w:r>
              <w:rPr>
                <w:b/>
              </w:rPr>
              <w:t xml:space="preserve">Original Required Commercial Materials </w:t>
            </w:r>
          </w:p>
        </w:tc>
        <w:tc>
          <w:tcPr>
            <w:tcW w:w="5392" w:type="dxa"/>
          </w:tcPr>
          <w:p w14:paraId="10C5AF35" w14:textId="75C5F1D0" w:rsidR="00CB323B" w:rsidRDefault="00431A16" w:rsidP="00CB323B">
            <w:pPr>
              <w:jc w:val="left"/>
              <w:rPr>
                <w:i/>
              </w:rPr>
            </w:pPr>
            <w:r>
              <w:rPr>
                <w:i/>
              </w:rPr>
              <w:t xml:space="preserve">Instructors choose one’s own textbooks.  A few popular ones are: INTRODUCTION TO SOCIOLOGY (CENGAGE, $ 73.85), ESSENTIALS OF Sociology (by </w:t>
            </w:r>
            <w:proofErr w:type="spellStart"/>
            <w:r>
              <w:rPr>
                <w:i/>
              </w:rPr>
              <w:t>Reitzer</w:t>
            </w:r>
            <w:proofErr w:type="spellEnd"/>
            <w:r>
              <w:rPr>
                <w:i/>
              </w:rPr>
              <w:t xml:space="preserve"> &amp; Murphy, $59.23</w:t>
            </w:r>
            <w:r w:rsidR="00CB323B">
              <w:rPr>
                <w:i/>
              </w:rPr>
              <w:t>, for renting, $32</w:t>
            </w:r>
            <w:r>
              <w:rPr>
                <w:i/>
              </w:rPr>
              <w:t xml:space="preserve">), </w:t>
            </w:r>
            <w:r w:rsidR="00CB323B">
              <w:rPr>
                <w:i/>
              </w:rPr>
              <w:t>and SOCIOLOGY: EXPLORING THE ARCH</w:t>
            </w:r>
            <w:r w:rsidR="007D796E">
              <w:rPr>
                <w:i/>
              </w:rPr>
              <w:t>I</w:t>
            </w:r>
            <w:r w:rsidR="00CB323B">
              <w:rPr>
                <w:i/>
              </w:rPr>
              <w:t>TECTURE OF EVERYDAY LIFE (by Newman, $70.65).  These are listed prices on Amazon.  Students often pay more tha</w:t>
            </w:r>
            <w:r w:rsidR="007D796E">
              <w:rPr>
                <w:i/>
              </w:rPr>
              <w:t>n</w:t>
            </w:r>
            <w:r w:rsidR="00CB323B">
              <w:rPr>
                <w:i/>
              </w:rPr>
              <w:t xml:space="preserve"> the listed prices when they get the books from the (GSU) Bookstores.</w:t>
            </w:r>
          </w:p>
          <w:p w14:paraId="7C34A555" w14:textId="09EB7245" w:rsidR="00CB323B" w:rsidRDefault="00CB323B" w:rsidP="00CB323B">
            <w:pPr>
              <w:jc w:val="left"/>
              <w:rPr>
                <w:i/>
              </w:rPr>
            </w:pPr>
            <w:r>
              <w:rPr>
                <w:i/>
              </w:rPr>
              <w:t>A few instructors also assign some reading from a Reader as well to accompany the main textbook</w:t>
            </w:r>
            <w:r w:rsidR="008B62FC">
              <w:rPr>
                <w:i/>
              </w:rPr>
              <w:t xml:space="preserve"> (which can add $28-35 per student textbook cost)</w:t>
            </w:r>
            <w:r>
              <w:rPr>
                <w:i/>
              </w:rPr>
              <w:t>.</w:t>
            </w:r>
          </w:p>
          <w:p w14:paraId="52F37B6E" w14:textId="286FFE63" w:rsidR="007613E7" w:rsidRDefault="007613E7" w:rsidP="00644D84">
            <w:pPr>
              <w:jc w:val="left"/>
              <w:rPr>
                <w:i/>
              </w:rPr>
            </w:pPr>
            <w:r>
              <w:rPr>
                <w:i/>
              </w:rPr>
              <w:t xml:space="preserve"> </w:t>
            </w:r>
          </w:p>
        </w:tc>
      </w:tr>
      <w:tr w:rsidR="007613E7" w14:paraId="0A76F31F" w14:textId="77777777" w:rsidTr="005C30D8">
        <w:tc>
          <w:tcPr>
            <w:tcW w:w="3953" w:type="dxa"/>
          </w:tcPr>
          <w:p w14:paraId="0F875C57" w14:textId="5D5FEF4D" w:rsidR="007613E7" w:rsidRPr="0055284A" w:rsidRDefault="007613E7" w:rsidP="00644D84">
            <w:pPr>
              <w:jc w:val="left"/>
              <w:rPr>
                <w:b/>
              </w:rPr>
            </w:pPr>
            <w:r>
              <w:rPr>
                <w:b/>
              </w:rPr>
              <w:t>Average Price of Original Required Materials</w:t>
            </w:r>
            <w:r w:rsidRPr="007F6B0C">
              <w:rPr>
                <w:b/>
              </w:rPr>
              <w:t xml:space="preserve"> Per Student</w:t>
            </w:r>
            <w:r>
              <w:rPr>
                <w:b/>
              </w:rPr>
              <w:t xml:space="preserve"> Section Enrollment</w:t>
            </w:r>
          </w:p>
        </w:tc>
        <w:tc>
          <w:tcPr>
            <w:tcW w:w="5392" w:type="dxa"/>
          </w:tcPr>
          <w:p w14:paraId="56EE2E66" w14:textId="6B4EC970" w:rsidR="007613E7" w:rsidRPr="007F6B0C" w:rsidRDefault="00CB323B" w:rsidP="00CB323B">
            <w:pPr>
              <w:jc w:val="left"/>
              <w:rPr>
                <w:i/>
              </w:rPr>
            </w:pPr>
            <w:r>
              <w:rPr>
                <w:i/>
              </w:rPr>
              <w:t>$75</w:t>
            </w:r>
            <w:r w:rsidR="000754D7">
              <w:rPr>
                <w:i/>
              </w:rPr>
              <w:t xml:space="preserve"> per student</w:t>
            </w:r>
            <w:r w:rsidR="007613E7">
              <w:rPr>
                <w:i/>
              </w:rPr>
              <w:t xml:space="preserve"> </w:t>
            </w:r>
          </w:p>
        </w:tc>
      </w:tr>
      <w:tr w:rsidR="007613E7" w14:paraId="6707070A" w14:textId="77777777" w:rsidTr="005C30D8">
        <w:tc>
          <w:tcPr>
            <w:tcW w:w="3953" w:type="dxa"/>
          </w:tcPr>
          <w:p w14:paraId="1059AD9A" w14:textId="1AA7DD0F" w:rsidR="007613E7" w:rsidRPr="007F6B0C" w:rsidRDefault="007613E7" w:rsidP="00644D84">
            <w:pPr>
              <w:jc w:val="left"/>
              <w:rPr>
                <w:b/>
              </w:rPr>
            </w:pPr>
            <w:r>
              <w:rPr>
                <w:b/>
              </w:rPr>
              <w:t xml:space="preserve">Average </w:t>
            </w:r>
            <w:r w:rsidRPr="007F6B0C">
              <w:rPr>
                <w:b/>
              </w:rPr>
              <w:t>Post-Project Cost Per Student</w:t>
            </w:r>
            <w:r>
              <w:rPr>
                <w:b/>
              </w:rPr>
              <w:t xml:space="preserve"> Section Enrollment</w:t>
            </w:r>
          </w:p>
        </w:tc>
        <w:tc>
          <w:tcPr>
            <w:tcW w:w="5392" w:type="dxa"/>
          </w:tcPr>
          <w:p w14:paraId="22F96F30" w14:textId="77777777" w:rsidR="000754D7" w:rsidRDefault="00CB323B" w:rsidP="000754D7">
            <w:pPr>
              <w:jc w:val="left"/>
              <w:rPr>
                <w:i/>
              </w:rPr>
            </w:pPr>
            <w:r>
              <w:rPr>
                <w:i/>
              </w:rPr>
              <w:t xml:space="preserve">$0  </w:t>
            </w:r>
          </w:p>
          <w:p w14:paraId="5B65AF68" w14:textId="1CDA9AEA" w:rsidR="007613E7" w:rsidRPr="007F6B0C" w:rsidRDefault="00CB323B" w:rsidP="008B62FC">
            <w:pPr>
              <w:jc w:val="left"/>
              <w:rPr>
                <w:i/>
              </w:rPr>
            </w:pPr>
            <w:r>
              <w:rPr>
                <w:i/>
              </w:rPr>
              <w:t>(</w:t>
            </w:r>
            <w:r w:rsidR="008B62FC">
              <w:rPr>
                <w:i/>
              </w:rPr>
              <w:t>S</w:t>
            </w:r>
            <w:r w:rsidR="000754D7">
              <w:rPr>
                <w:i/>
              </w:rPr>
              <w:t>tudents can purchase th</w:t>
            </w:r>
            <w:r>
              <w:rPr>
                <w:i/>
              </w:rPr>
              <w:t>e printed OER Textbook</w:t>
            </w:r>
            <w:r w:rsidR="000754D7">
              <w:rPr>
                <w:i/>
              </w:rPr>
              <w:t xml:space="preserve"> if they wish</w:t>
            </w:r>
            <w:r>
              <w:rPr>
                <w:i/>
              </w:rPr>
              <w:t>.)</w:t>
            </w:r>
            <w:r w:rsidR="007613E7">
              <w:rPr>
                <w:i/>
              </w:rPr>
              <w:t xml:space="preserve"> </w:t>
            </w:r>
          </w:p>
        </w:tc>
      </w:tr>
      <w:tr w:rsidR="007613E7" w14:paraId="32FFFCAC" w14:textId="77777777" w:rsidTr="005C30D8">
        <w:tc>
          <w:tcPr>
            <w:tcW w:w="3953" w:type="dxa"/>
          </w:tcPr>
          <w:p w14:paraId="13A5F7CE" w14:textId="328BD5B3" w:rsidR="007613E7" w:rsidRPr="007F6B0C" w:rsidRDefault="007613E7" w:rsidP="00644D84">
            <w:pPr>
              <w:jc w:val="left"/>
              <w:rPr>
                <w:b/>
              </w:rPr>
            </w:pPr>
            <w:r>
              <w:rPr>
                <w:b/>
              </w:rPr>
              <w:t>Average Post-Project Savings Per Student Section Enrollment</w:t>
            </w:r>
          </w:p>
        </w:tc>
        <w:tc>
          <w:tcPr>
            <w:tcW w:w="5392" w:type="dxa"/>
          </w:tcPr>
          <w:p w14:paraId="61206643" w14:textId="4775BEB8" w:rsidR="007613E7" w:rsidRPr="007F6B0C" w:rsidRDefault="000754D7" w:rsidP="000754D7">
            <w:pPr>
              <w:jc w:val="left"/>
              <w:rPr>
                <w:i/>
              </w:rPr>
            </w:pPr>
            <w:r>
              <w:rPr>
                <w:i/>
              </w:rPr>
              <w:t>$75.</w:t>
            </w:r>
            <w:r w:rsidR="007613E7">
              <w:rPr>
                <w:i/>
              </w:rPr>
              <w:t xml:space="preserve"> </w:t>
            </w:r>
          </w:p>
        </w:tc>
      </w:tr>
      <w:tr w:rsidR="007613E7" w14:paraId="5C06C2E2" w14:textId="77777777" w:rsidTr="005C30D8">
        <w:tc>
          <w:tcPr>
            <w:tcW w:w="3953" w:type="dxa"/>
          </w:tcPr>
          <w:p w14:paraId="218D0E48" w14:textId="0DCA7B77" w:rsidR="007613E7" w:rsidRPr="007F6B0C" w:rsidRDefault="007613E7" w:rsidP="00644D84">
            <w:pPr>
              <w:jc w:val="left"/>
              <w:rPr>
                <w:b/>
              </w:rPr>
            </w:pPr>
            <w:r>
              <w:rPr>
                <w:b/>
              </w:rPr>
              <w:t>Projected Total New Annual Student Savings Per Academic Year</w:t>
            </w:r>
          </w:p>
        </w:tc>
        <w:tc>
          <w:tcPr>
            <w:tcW w:w="5392" w:type="dxa"/>
          </w:tcPr>
          <w:p w14:paraId="13DFA4EE" w14:textId="0056D4EC" w:rsidR="007613E7" w:rsidRDefault="007613E7" w:rsidP="00644D84">
            <w:pPr>
              <w:jc w:val="left"/>
              <w:rPr>
                <w:i/>
              </w:rPr>
            </w:pPr>
            <w:r>
              <w:rPr>
                <w:i/>
              </w:rPr>
              <w:t xml:space="preserve">This is </w:t>
            </w:r>
            <w:r w:rsidR="008B62FC">
              <w:rPr>
                <w:i/>
              </w:rPr>
              <w:t>a very conservative estimation based on the downtown campus student enrollments.</w:t>
            </w:r>
          </w:p>
          <w:p w14:paraId="302E7DE7" w14:textId="3A8706E7" w:rsidR="000754D7" w:rsidRDefault="000754D7" w:rsidP="00644D84">
            <w:pPr>
              <w:jc w:val="left"/>
              <w:rPr>
                <w:i/>
              </w:rPr>
            </w:pPr>
            <w:r>
              <w:rPr>
                <w:i/>
              </w:rPr>
              <w:t>** Fall 2020: $30,000 (400 students x $75)</w:t>
            </w:r>
          </w:p>
          <w:p w14:paraId="57AD9D3D" w14:textId="0E284F27" w:rsidR="000754D7" w:rsidRDefault="000754D7" w:rsidP="00644D84">
            <w:pPr>
              <w:jc w:val="left"/>
              <w:rPr>
                <w:i/>
              </w:rPr>
            </w:pPr>
            <w:r>
              <w:rPr>
                <w:i/>
              </w:rPr>
              <w:t>Spring 2021: $22,500 (300 students x $75)</w:t>
            </w:r>
          </w:p>
          <w:p w14:paraId="72B4ADE7" w14:textId="3B94BF16" w:rsidR="000754D7" w:rsidRDefault="000754D7" w:rsidP="000754D7">
            <w:pPr>
              <w:jc w:val="left"/>
              <w:rPr>
                <w:i/>
              </w:rPr>
            </w:pPr>
            <w:r>
              <w:rPr>
                <w:i/>
              </w:rPr>
              <w:lastRenderedPageBreak/>
              <w:t>Summer 2021:</w:t>
            </w:r>
            <w:r w:rsidR="008B62FC">
              <w:rPr>
                <w:i/>
              </w:rPr>
              <w:t xml:space="preserve"> $13,125</w:t>
            </w:r>
            <w:r>
              <w:rPr>
                <w:i/>
              </w:rPr>
              <w:t xml:space="preserve"> (175 students x $75)</w:t>
            </w:r>
          </w:p>
          <w:p w14:paraId="38A25260" w14:textId="12FAF74D" w:rsidR="000754D7" w:rsidRDefault="000754D7" w:rsidP="000754D7">
            <w:pPr>
              <w:jc w:val="left"/>
              <w:rPr>
                <w:i/>
              </w:rPr>
            </w:pPr>
            <w:r>
              <w:rPr>
                <w:i/>
              </w:rPr>
              <w:t xml:space="preserve">Fall 2021: </w:t>
            </w:r>
            <w:r w:rsidR="008B62FC">
              <w:rPr>
                <w:i/>
              </w:rPr>
              <w:t>$45,000 (</w:t>
            </w:r>
            <w:r>
              <w:rPr>
                <w:i/>
              </w:rPr>
              <w:t>600 students X $75)</w:t>
            </w:r>
          </w:p>
          <w:p w14:paraId="06946550" w14:textId="77777777" w:rsidR="008B62FC" w:rsidRDefault="008B62FC" w:rsidP="000754D7">
            <w:pPr>
              <w:jc w:val="left"/>
              <w:rPr>
                <w:i/>
              </w:rPr>
            </w:pPr>
            <w:r>
              <w:rPr>
                <w:i/>
              </w:rPr>
              <w:t>The total new annual student savings per academic year 1: $ $65,625</w:t>
            </w:r>
          </w:p>
          <w:p w14:paraId="40EE0BC8" w14:textId="70B0CA49" w:rsidR="008B62FC" w:rsidRDefault="008B62FC" w:rsidP="000754D7">
            <w:pPr>
              <w:jc w:val="left"/>
              <w:rPr>
                <w:i/>
              </w:rPr>
            </w:pPr>
            <w:r>
              <w:rPr>
                <w:i/>
              </w:rPr>
              <w:t xml:space="preserve">The total new annual student savings per academic year 2: </w:t>
            </w:r>
            <w:r w:rsidR="00F73819">
              <w:rPr>
                <w:i/>
              </w:rPr>
              <w:t>$225,000 (3000 students x $75)</w:t>
            </w:r>
            <w:r>
              <w:rPr>
                <w:i/>
              </w:rPr>
              <w:t xml:space="preserve"> </w:t>
            </w:r>
          </w:p>
          <w:p w14:paraId="3B6991AF" w14:textId="494D5186" w:rsidR="007613E7" w:rsidRPr="007F6B0C" w:rsidRDefault="007613E7" w:rsidP="000754D7">
            <w:pPr>
              <w:jc w:val="left"/>
              <w:rPr>
                <w:i/>
              </w:rPr>
            </w:pPr>
          </w:p>
        </w:tc>
      </w:tr>
      <w:tr w:rsidR="007613E7" w14:paraId="64D6245C" w14:textId="77777777" w:rsidTr="005C30D8">
        <w:tc>
          <w:tcPr>
            <w:tcW w:w="3953" w:type="dxa"/>
          </w:tcPr>
          <w:p w14:paraId="0A6F4FEA" w14:textId="4B0F85F8" w:rsidR="007613E7" w:rsidRPr="007F6B0C" w:rsidRDefault="007613E7" w:rsidP="00644D84">
            <w:pPr>
              <w:jc w:val="left"/>
              <w:rPr>
                <w:b/>
              </w:rPr>
            </w:pPr>
            <w:r>
              <w:rPr>
                <w:b/>
              </w:rPr>
              <w:lastRenderedPageBreak/>
              <w:t xml:space="preserve">Using </w:t>
            </w:r>
            <w:r w:rsidR="007D796E">
              <w:rPr>
                <w:b/>
              </w:rPr>
              <w:t xml:space="preserve">the </w:t>
            </w:r>
            <w:proofErr w:type="spellStart"/>
            <w:r>
              <w:rPr>
                <w:b/>
              </w:rPr>
              <w:t>OpenStax</w:t>
            </w:r>
            <w:proofErr w:type="spellEnd"/>
            <w:r>
              <w:rPr>
                <w:b/>
              </w:rPr>
              <w:t xml:space="preserve"> Textbook?</w:t>
            </w:r>
          </w:p>
        </w:tc>
        <w:tc>
          <w:tcPr>
            <w:tcW w:w="5392" w:type="dxa"/>
          </w:tcPr>
          <w:p w14:paraId="6B59887D" w14:textId="72BF9A70" w:rsidR="007613E7" w:rsidRPr="007F6B0C" w:rsidRDefault="007613E7" w:rsidP="008B62FC">
            <w:pPr>
              <w:jc w:val="left"/>
              <w:rPr>
                <w:i/>
              </w:rPr>
            </w:pPr>
            <w:r>
              <w:rPr>
                <w:i/>
              </w:rPr>
              <w:t>Yes</w:t>
            </w:r>
            <w:r w:rsidR="008B62FC">
              <w:rPr>
                <w:i/>
              </w:rPr>
              <w:t>.</w:t>
            </w:r>
            <w:r>
              <w:rPr>
                <w:i/>
              </w:rPr>
              <w:t xml:space="preserve"> </w:t>
            </w:r>
          </w:p>
        </w:tc>
      </w:tr>
    </w:tbl>
    <w:p w14:paraId="5B3046C4" w14:textId="77777777" w:rsidR="00F56A94" w:rsidRDefault="00F56A94" w:rsidP="00F56A94"/>
    <w:p w14:paraId="085B33C6" w14:textId="77777777" w:rsidR="0055284A" w:rsidRDefault="00566366" w:rsidP="00566366">
      <w:pPr>
        <w:pStyle w:val="Heading1"/>
      </w:pPr>
      <w:r>
        <w:t>Narrative Section</w:t>
      </w:r>
    </w:p>
    <w:p w14:paraId="2DDDD639" w14:textId="77777777" w:rsidR="00566366" w:rsidRDefault="00566366" w:rsidP="00566366">
      <w:pPr>
        <w:pStyle w:val="Heading2"/>
      </w:pPr>
    </w:p>
    <w:p w14:paraId="32701163" w14:textId="77777777" w:rsidR="00566366" w:rsidRDefault="00566366" w:rsidP="00566366">
      <w:pPr>
        <w:pStyle w:val="Heading2"/>
      </w:pPr>
      <w:r>
        <w:t>1. Project Goals</w:t>
      </w:r>
    </w:p>
    <w:p w14:paraId="4DAC83D6" w14:textId="77777777" w:rsidR="00B959E7" w:rsidRDefault="00B959E7" w:rsidP="00566366">
      <w:pPr>
        <w:jc w:val="left"/>
        <w:rPr>
          <w:i/>
          <w:iCs/>
        </w:rPr>
      </w:pPr>
    </w:p>
    <w:p w14:paraId="68B7BAA9" w14:textId="77777777" w:rsidR="00382C53" w:rsidRDefault="00B959E7" w:rsidP="00566366">
      <w:pPr>
        <w:jc w:val="left"/>
        <w:rPr>
          <w:i/>
          <w:iCs/>
        </w:rPr>
      </w:pPr>
      <w:r>
        <w:rPr>
          <w:i/>
          <w:iCs/>
        </w:rPr>
        <w:t xml:space="preserve">We are submitting an application for </w:t>
      </w:r>
      <w:r w:rsidR="00566366">
        <w:rPr>
          <w:i/>
          <w:iCs/>
        </w:rPr>
        <w:t xml:space="preserve">a </w:t>
      </w:r>
      <w:r w:rsidR="00644D84">
        <w:rPr>
          <w:i/>
          <w:iCs/>
        </w:rPr>
        <w:t xml:space="preserve">Departmental Scaling </w:t>
      </w:r>
      <w:r w:rsidR="00566366">
        <w:rPr>
          <w:i/>
          <w:iCs/>
        </w:rPr>
        <w:t>project</w:t>
      </w:r>
      <w:r>
        <w:rPr>
          <w:i/>
          <w:iCs/>
        </w:rPr>
        <w:t xml:space="preserve"> to further enhance students’ affordability and accessibility to higher education.  </w:t>
      </w:r>
    </w:p>
    <w:p w14:paraId="58DD682D" w14:textId="3A41BB1B" w:rsidR="00E66F49" w:rsidRDefault="00B959E7" w:rsidP="00566366">
      <w:pPr>
        <w:jc w:val="left"/>
        <w:rPr>
          <w:i/>
          <w:iCs/>
        </w:rPr>
      </w:pPr>
      <w:r>
        <w:rPr>
          <w:i/>
          <w:iCs/>
        </w:rPr>
        <w:t xml:space="preserve">The commitment to </w:t>
      </w:r>
      <w:r w:rsidR="00382C53">
        <w:rPr>
          <w:i/>
          <w:iCs/>
        </w:rPr>
        <w:t xml:space="preserve">student success at Georgia State University has been recognized in the nation as </w:t>
      </w:r>
      <w:r w:rsidR="00C66AED">
        <w:rPr>
          <w:i/>
          <w:iCs/>
        </w:rPr>
        <w:t>one of “</w:t>
      </w:r>
      <w:r w:rsidR="00382C53">
        <w:rPr>
          <w:i/>
          <w:iCs/>
        </w:rPr>
        <w:t>the most innovative” universities in the nation</w:t>
      </w:r>
      <w:r w:rsidR="00C66AED">
        <w:rPr>
          <w:i/>
          <w:iCs/>
        </w:rPr>
        <w:t xml:space="preserve">.  While the university seeks to further various resources and services for </w:t>
      </w:r>
      <w:r w:rsidR="00382C53">
        <w:rPr>
          <w:i/>
          <w:iCs/>
        </w:rPr>
        <w:t xml:space="preserve">students, the problem of student debts is </w:t>
      </w:r>
      <w:r w:rsidR="00C66AED">
        <w:rPr>
          <w:i/>
          <w:iCs/>
        </w:rPr>
        <w:t>ubiquitous.</w:t>
      </w:r>
      <w:r w:rsidR="00382C53">
        <w:rPr>
          <w:i/>
          <w:iCs/>
        </w:rPr>
        <w:t xml:space="preserve"> </w:t>
      </w:r>
      <w:r w:rsidR="00C66AED">
        <w:rPr>
          <w:i/>
          <w:iCs/>
        </w:rPr>
        <w:t xml:space="preserve"> And</w:t>
      </w:r>
      <w:r w:rsidR="00382C53">
        <w:rPr>
          <w:i/>
          <w:iCs/>
        </w:rPr>
        <w:t xml:space="preserve"> students </w:t>
      </w:r>
      <w:r w:rsidR="00C66AED">
        <w:rPr>
          <w:i/>
          <w:iCs/>
        </w:rPr>
        <w:t xml:space="preserve">majoring (or minoring) </w:t>
      </w:r>
      <w:r w:rsidR="00382C53">
        <w:rPr>
          <w:i/>
          <w:iCs/>
        </w:rPr>
        <w:t>Sociology</w:t>
      </w:r>
      <w:r w:rsidR="00C66AED">
        <w:rPr>
          <w:i/>
          <w:iCs/>
        </w:rPr>
        <w:t>,</w:t>
      </w:r>
      <w:r w:rsidR="00382C53">
        <w:rPr>
          <w:i/>
          <w:iCs/>
        </w:rPr>
        <w:t xml:space="preserve"> their financial situations are often </w:t>
      </w:r>
      <w:r w:rsidR="00C66AED">
        <w:rPr>
          <w:i/>
          <w:iCs/>
        </w:rPr>
        <w:t>direr</w:t>
      </w:r>
      <w:r w:rsidR="00382C53">
        <w:rPr>
          <w:i/>
          <w:iCs/>
        </w:rPr>
        <w:t xml:space="preserve">; for they tend to </w:t>
      </w:r>
      <w:r w:rsidR="00C66AED">
        <w:rPr>
          <w:i/>
          <w:iCs/>
        </w:rPr>
        <w:t xml:space="preserve">turn to </w:t>
      </w:r>
      <w:r w:rsidR="00382C53">
        <w:rPr>
          <w:i/>
          <w:iCs/>
        </w:rPr>
        <w:t xml:space="preserve">Sociology later in their college tenure.  </w:t>
      </w:r>
    </w:p>
    <w:p w14:paraId="46D21F97" w14:textId="77777777" w:rsidR="00C66AED" w:rsidRDefault="00E66F49" w:rsidP="00566366">
      <w:pPr>
        <w:jc w:val="left"/>
        <w:rPr>
          <w:i/>
          <w:iCs/>
        </w:rPr>
      </w:pPr>
      <w:r>
        <w:rPr>
          <w:i/>
          <w:iCs/>
        </w:rPr>
        <w:t>To address the affordability of college education, especially for Sociology students, the team (Jung Ha Kim and Sarah Miranda Hepler) has applied for the textbook Transformation Grant in 201</w:t>
      </w:r>
      <w:r w:rsidR="00C66AED">
        <w:rPr>
          <w:i/>
          <w:iCs/>
        </w:rPr>
        <w:t>7</w:t>
      </w:r>
      <w:r>
        <w:rPr>
          <w:i/>
          <w:iCs/>
        </w:rPr>
        <w:t xml:space="preserve"> to replace the commercial textbook with a no-cost </w:t>
      </w:r>
      <w:proofErr w:type="spellStart"/>
      <w:r>
        <w:rPr>
          <w:i/>
          <w:iCs/>
        </w:rPr>
        <w:t>OpenStax</w:t>
      </w:r>
      <w:proofErr w:type="spellEnd"/>
      <w:r>
        <w:rPr>
          <w:i/>
          <w:iCs/>
        </w:rPr>
        <w:t xml:space="preserve"> textbook.  And </w:t>
      </w:r>
      <w:r w:rsidR="00C66AED">
        <w:rPr>
          <w:i/>
          <w:iCs/>
        </w:rPr>
        <w:t xml:space="preserve">in 2018, the team successfully transformed the textbook for the Introduction to </w:t>
      </w:r>
      <w:proofErr w:type="spellStart"/>
      <w:r w:rsidR="00C66AED">
        <w:rPr>
          <w:i/>
          <w:iCs/>
        </w:rPr>
        <w:t>Sociology</w:t>
      </w:r>
      <w:r>
        <w:rPr>
          <w:i/>
          <w:iCs/>
        </w:rPr>
        <w:t>ever</w:t>
      </w:r>
      <w:proofErr w:type="spellEnd"/>
      <w:r w:rsidR="00C66AED">
        <w:rPr>
          <w:i/>
          <w:iCs/>
        </w:rPr>
        <w:t xml:space="preserve"> by offering a large section of an online course.  Ever</w:t>
      </w:r>
      <w:r>
        <w:rPr>
          <w:i/>
          <w:iCs/>
        </w:rPr>
        <w:t xml:space="preserve"> since </w:t>
      </w:r>
      <w:r w:rsidR="00C66AED">
        <w:rPr>
          <w:i/>
          <w:iCs/>
        </w:rPr>
        <w:t xml:space="preserve">the applicant </w:t>
      </w:r>
      <w:r>
        <w:rPr>
          <w:i/>
          <w:iCs/>
        </w:rPr>
        <w:t xml:space="preserve">used the </w:t>
      </w:r>
      <w:proofErr w:type="spellStart"/>
      <w:r>
        <w:rPr>
          <w:i/>
          <w:iCs/>
        </w:rPr>
        <w:t>Openstax</w:t>
      </w:r>
      <w:proofErr w:type="spellEnd"/>
      <w:r>
        <w:rPr>
          <w:i/>
          <w:iCs/>
        </w:rPr>
        <w:t xml:space="preserve"> textbook for all of her Introduction to Sociology course</w:t>
      </w:r>
      <w:r w:rsidR="00C66AED">
        <w:rPr>
          <w:i/>
          <w:iCs/>
        </w:rPr>
        <w:t>s</w:t>
      </w:r>
      <w:r>
        <w:rPr>
          <w:i/>
          <w:iCs/>
        </w:rPr>
        <w:t xml:space="preserve"> and has encouraged a few other colleagues in the department to use the same no-cost </w:t>
      </w:r>
      <w:proofErr w:type="spellStart"/>
      <w:r>
        <w:rPr>
          <w:i/>
          <w:iCs/>
        </w:rPr>
        <w:t>Openstax</w:t>
      </w:r>
      <w:proofErr w:type="spellEnd"/>
      <w:r>
        <w:rPr>
          <w:i/>
          <w:iCs/>
        </w:rPr>
        <w:t xml:space="preserve"> textbook for </w:t>
      </w:r>
      <w:proofErr w:type="spellStart"/>
      <w:r>
        <w:rPr>
          <w:i/>
          <w:iCs/>
        </w:rPr>
        <w:t>Soci</w:t>
      </w:r>
      <w:proofErr w:type="spellEnd"/>
      <w:r>
        <w:rPr>
          <w:i/>
          <w:iCs/>
        </w:rPr>
        <w:t xml:space="preserve"> 1101.  </w:t>
      </w:r>
      <w:r w:rsidR="00C66AED">
        <w:rPr>
          <w:i/>
          <w:iCs/>
        </w:rPr>
        <w:t xml:space="preserve">On average, 580 students per year who enrolled in her </w:t>
      </w:r>
      <w:proofErr w:type="spellStart"/>
      <w:r w:rsidR="00C66AED">
        <w:rPr>
          <w:i/>
          <w:iCs/>
        </w:rPr>
        <w:t>Soci</w:t>
      </w:r>
      <w:proofErr w:type="spellEnd"/>
      <w:r w:rsidR="00C66AED">
        <w:rPr>
          <w:i/>
          <w:iCs/>
        </w:rPr>
        <w:t xml:space="preserve"> 1101 used the no-cost </w:t>
      </w:r>
      <w:proofErr w:type="spellStart"/>
      <w:r w:rsidR="00C66AED">
        <w:rPr>
          <w:i/>
          <w:iCs/>
        </w:rPr>
        <w:t>OpenStax</w:t>
      </w:r>
      <w:proofErr w:type="spellEnd"/>
      <w:r w:rsidR="00C66AED">
        <w:rPr>
          <w:i/>
          <w:iCs/>
        </w:rPr>
        <w:t xml:space="preserve"> textbook and in the current academic year, approximately 760 students will be using the </w:t>
      </w:r>
      <w:proofErr w:type="spellStart"/>
      <w:r w:rsidR="00C66AED">
        <w:rPr>
          <w:i/>
          <w:iCs/>
        </w:rPr>
        <w:t>OpenStax</w:t>
      </w:r>
      <w:proofErr w:type="spellEnd"/>
      <w:r w:rsidR="00C66AED">
        <w:rPr>
          <w:i/>
          <w:iCs/>
        </w:rPr>
        <w:t xml:space="preserve"> textbook.  </w:t>
      </w:r>
    </w:p>
    <w:p w14:paraId="57E42D19" w14:textId="1F1EE728" w:rsidR="00891FD1" w:rsidRDefault="00E66F49" w:rsidP="00566366">
      <w:pPr>
        <w:jc w:val="left"/>
        <w:rPr>
          <w:i/>
          <w:iCs/>
        </w:rPr>
      </w:pPr>
      <w:r>
        <w:rPr>
          <w:i/>
          <w:iCs/>
        </w:rPr>
        <w:t xml:space="preserve">This Departmental Scaling Grant proposal is to a) expand pervious affordable approaches to textbook transformation by adopting the </w:t>
      </w:r>
      <w:proofErr w:type="spellStart"/>
      <w:r>
        <w:rPr>
          <w:i/>
          <w:iCs/>
        </w:rPr>
        <w:t>OpenStax</w:t>
      </w:r>
      <w:proofErr w:type="spellEnd"/>
      <w:r>
        <w:rPr>
          <w:i/>
          <w:iCs/>
        </w:rPr>
        <w:t xml:space="preserve"> textbook at no cost to students</w:t>
      </w:r>
      <w:r w:rsidR="00C66AED">
        <w:rPr>
          <w:i/>
          <w:iCs/>
        </w:rPr>
        <w:t xml:space="preserve">, b) </w:t>
      </w:r>
      <w:r>
        <w:rPr>
          <w:i/>
          <w:iCs/>
        </w:rPr>
        <w:t xml:space="preserve">to provide </w:t>
      </w:r>
      <w:r w:rsidR="00891FD1">
        <w:rPr>
          <w:i/>
          <w:iCs/>
        </w:rPr>
        <w:t xml:space="preserve">support </w:t>
      </w:r>
      <w:r w:rsidR="00C66AED">
        <w:rPr>
          <w:i/>
          <w:iCs/>
        </w:rPr>
        <w:t xml:space="preserve">and time </w:t>
      </w:r>
      <w:r w:rsidR="00891FD1">
        <w:rPr>
          <w:i/>
          <w:iCs/>
        </w:rPr>
        <w:t>to faculty and instructional designers to meet and work on the implementation of the scaling plans</w:t>
      </w:r>
      <w:r w:rsidR="00C66AED">
        <w:rPr>
          <w:i/>
          <w:iCs/>
        </w:rPr>
        <w:t xml:space="preserve">, and thereby c) contribute to students’ success by making the higher education more affordable and accessible.  </w:t>
      </w:r>
      <w:r w:rsidR="00891FD1">
        <w:rPr>
          <w:i/>
          <w:iCs/>
        </w:rPr>
        <w:t xml:space="preserve"> </w:t>
      </w:r>
    </w:p>
    <w:p w14:paraId="6901AC49" w14:textId="7DB0A39C" w:rsidR="00B959E7" w:rsidRDefault="00B959E7" w:rsidP="00566366">
      <w:pPr>
        <w:jc w:val="left"/>
        <w:rPr>
          <w:i/>
          <w:iCs/>
        </w:rPr>
      </w:pPr>
    </w:p>
    <w:p w14:paraId="1FA0FA57" w14:textId="77777777" w:rsidR="00B959E7" w:rsidRDefault="00B959E7" w:rsidP="00566366">
      <w:pPr>
        <w:jc w:val="left"/>
        <w:rPr>
          <w:i/>
          <w:iCs/>
        </w:rPr>
      </w:pPr>
    </w:p>
    <w:p w14:paraId="16D84FD6" w14:textId="77777777" w:rsidR="00566366" w:rsidRDefault="00566366" w:rsidP="00566366">
      <w:pPr>
        <w:pStyle w:val="Heading2"/>
      </w:pPr>
      <w:r>
        <w:t>2. Statement of Transformation</w:t>
      </w:r>
    </w:p>
    <w:p w14:paraId="2FE98578" w14:textId="77777777" w:rsidR="00F844E8" w:rsidRDefault="00F844E8" w:rsidP="00566366">
      <w:pPr>
        <w:jc w:val="left"/>
        <w:rPr>
          <w:i/>
        </w:rPr>
      </w:pPr>
    </w:p>
    <w:p w14:paraId="5A88467B" w14:textId="77777777" w:rsidR="00F844E8" w:rsidRDefault="00F844E8" w:rsidP="00566366">
      <w:pPr>
        <w:jc w:val="left"/>
        <w:rPr>
          <w:i/>
        </w:rPr>
      </w:pPr>
      <w:r>
        <w:rPr>
          <w:i/>
        </w:rPr>
        <w:t xml:space="preserve">Based on the applicant’s experience of using the </w:t>
      </w:r>
      <w:proofErr w:type="spellStart"/>
      <w:r>
        <w:rPr>
          <w:i/>
        </w:rPr>
        <w:t>OpenStax</w:t>
      </w:r>
      <w:proofErr w:type="spellEnd"/>
      <w:r>
        <w:rPr>
          <w:i/>
        </w:rPr>
        <w:t xml:space="preserve"> textbook in the Introduction to Sociology courses in the past two years, the team proposes the following processes for the departmental scaling project.</w:t>
      </w:r>
    </w:p>
    <w:p w14:paraId="791970E8" w14:textId="77777777" w:rsidR="00F844E8" w:rsidRDefault="00F844E8" w:rsidP="00566366">
      <w:pPr>
        <w:jc w:val="left"/>
        <w:rPr>
          <w:i/>
        </w:rPr>
      </w:pPr>
      <w:r>
        <w:rPr>
          <w:i/>
        </w:rPr>
        <w:t xml:space="preserve">In </w:t>
      </w:r>
      <w:proofErr w:type="gramStart"/>
      <w:r>
        <w:rPr>
          <w:i/>
        </w:rPr>
        <w:t>Spring</w:t>
      </w:r>
      <w:proofErr w:type="gramEnd"/>
      <w:r>
        <w:rPr>
          <w:i/>
        </w:rPr>
        <w:t xml:space="preserve"> 2020: Two additional Sociology instructors at two different campuses will be using the </w:t>
      </w:r>
      <w:proofErr w:type="spellStart"/>
      <w:r>
        <w:rPr>
          <w:i/>
        </w:rPr>
        <w:t>OpenStax</w:t>
      </w:r>
      <w:proofErr w:type="spellEnd"/>
      <w:r>
        <w:rPr>
          <w:i/>
        </w:rPr>
        <w:t xml:space="preserve"> textbook for 3 sections of </w:t>
      </w:r>
      <w:proofErr w:type="spellStart"/>
      <w:r>
        <w:rPr>
          <w:i/>
        </w:rPr>
        <w:t>Soci</w:t>
      </w:r>
      <w:proofErr w:type="spellEnd"/>
      <w:r>
        <w:rPr>
          <w:i/>
        </w:rPr>
        <w:t xml:space="preserve"> 1101 (120+45+45 student enrollments). </w:t>
      </w:r>
    </w:p>
    <w:p w14:paraId="20022234" w14:textId="5070A865" w:rsidR="00F844E8" w:rsidRDefault="00F844E8" w:rsidP="00566366">
      <w:pPr>
        <w:jc w:val="left"/>
        <w:rPr>
          <w:i/>
        </w:rPr>
      </w:pPr>
      <w:r>
        <w:rPr>
          <w:i/>
        </w:rPr>
        <w:t xml:space="preserve">In Summer 20202: As a way to prepare for the scaling in Fall 2020, the Graduate Students who will be teaching the </w:t>
      </w:r>
      <w:proofErr w:type="spellStart"/>
      <w:r>
        <w:rPr>
          <w:i/>
        </w:rPr>
        <w:t>Soci</w:t>
      </w:r>
      <w:proofErr w:type="spellEnd"/>
      <w:r>
        <w:rPr>
          <w:i/>
        </w:rPr>
        <w:t xml:space="preserve"> 1101 course in the summer and fall semesters will be trained to use </w:t>
      </w:r>
      <w:r w:rsidR="007D796E">
        <w:rPr>
          <w:i/>
        </w:rPr>
        <w:t xml:space="preserve">the </w:t>
      </w:r>
      <w:proofErr w:type="spellStart"/>
      <w:r>
        <w:rPr>
          <w:i/>
        </w:rPr>
        <w:t>OpenStax</w:t>
      </w:r>
      <w:proofErr w:type="spellEnd"/>
      <w:r>
        <w:rPr>
          <w:i/>
        </w:rPr>
        <w:t xml:space="preserve"> textbook.</w:t>
      </w:r>
    </w:p>
    <w:p w14:paraId="1E13025A" w14:textId="2B0B0B91" w:rsidR="00F844E8" w:rsidRDefault="00F844E8" w:rsidP="00566366">
      <w:pPr>
        <w:jc w:val="left"/>
        <w:rPr>
          <w:i/>
        </w:rPr>
      </w:pPr>
      <w:r>
        <w:rPr>
          <w:i/>
        </w:rPr>
        <w:t xml:space="preserve">In </w:t>
      </w:r>
      <w:proofErr w:type="gramStart"/>
      <w:r>
        <w:rPr>
          <w:i/>
        </w:rPr>
        <w:t>Fall</w:t>
      </w:r>
      <w:proofErr w:type="gramEnd"/>
      <w:r>
        <w:rPr>
          <w:i/>
        </w:rPr>
        <w:t xml:space="preserve"> 2020: over 550 students in the </w:t>
      </w:r>
      <w:proofErr w:type="spellStart"/>
      <w:r>
        <w:rPr>
          <w:i/>
        </w:rPr>
        <w:t>Soci</w:t>
      </w:r>
      <w:proofErr w:type="spellEnd"/>
      <w:r>
        <w:rPr>
          <w:i/>
        </w:rPr>
        <w:t xml:space="preserve"> 1101 course on the Downtown campus will be using the </w:t>
      </w:r>
      <w:proofErr w:type="spellStart"/>
      <w:r>
        <w:rPr>
          <w:i/>
        </w:rPr>
        <w:t>Openstax</w:t>
      </w:r>
      <w:proofErr w:type="spellEnd"/>
      <w:r>
        <w:rPr>
          <w:i/>
        </w:rPr>
        <w:t xml:space="preserve"> textbook.  And another over 100 students at the Perimeter campus will be using the </w:t>
      </w:r>
      <w:proofErr w:type="spellStart"/>
      <w:r>
        <w:rPr>
          <w:i/>
        </w:rPr>
        <w:t>Openstax</w:t>
      </w:r>
      <w:proofErr w:type="spellEnd"/>
      <w:r>
        <w:rPr>
          <w:i/>
        </w:rPr>
        <w:t xml:space="preserve"> textbook.</w:t>
      </w:r>
    </w:p>
    <w:p w14:paraId="63F735A1" w14:textId="389BFA96" w:rsidR="00F844E8" w:rsidRDefault="00F844E8" w:rsidP="00566366">
      <w:pPr>
        <w:jc w:val="left"/>
        <w:rPr>
          <w:i/>
        </w:rPr>
      </w:pPr>
      <w:r>
        <w:rPr>
          <w:i/>
        </w:rPr>
        <w:t xml:space="preserve">While the proposed scaling project will be completed in the fall semester of 2020, we plan to work continuously work on launching the next phase of the departmental scaling throughout all 5 GSU campuses throughout the 2021-2022 academic year.  Since the applicant has been working with Sociology instructors at all 5 campuses to report the student learning outcomes annually for all sections of the </w:t>
      </w:r>
      <w:proofErr w:type="spellStart"/>
      <w:r>
        <w:rPr>
          <w:i/>
        </w:rPr>
        <w:t>Soci</w:t>
      </w:r>
      <w:proofErr w:type="spellEnd"/>
      <w:r>
        <w:rPr>
          <w:i/>
        </w:rPr>
        <w:t xml:space="preserve"> 1101 (and </w:t>
      </w:r>
      <w:proofErr w:type="spellStart"/>
      <w:r>
        <w:rPr>
          <w:i/>
        </w:rPr>
        <w:t>Soci</w:t>
      </w:r>
      <w:proofErr w:type="spellEnd"/>
      <w:r>
        <w:rPr>
          <w:i/>
        </w:rPr>
        <w:t xml:space="preserve"> 1160) course, working on inter-campus collaboration to adopt </w:t>
      </w:r>
      <w:proofErr w:type="spellStart"/>
      <w:r>
        <w:rPr>
          <w:i/>
        </w:rPr>
        <w:t>Openstax</w:t>
      </w:r>
      <w:proofErr w:type="spellEnd"/>
      <w:r>
        <w:rPr>
          <w:i/>
        </w:rPr>
        <w:t xml:space="preserve"> textbook, especially after the successful scaling </w:t>
      </w:r>
      <w:r w:rsidR="007510FE">
        <w:rPr>
          <w:i/>
        </w:rPr>
        <w:t>ex</w:t>
      </w:r>
      <w:r>
        <w:rPr>
          <w:i/>
        </w:rPr>
        <w:t>perience in fall 2020, will be a “natural” progression.</w:t>
      </w:r>
    </w:p>
    <w:p w14:paraId="0F11D279" w14:textId="08955554" w:rsidR="00F844E8" w:rsidRDefault="00F844E8" w:rsidP="00566366">
      <w:pPr>
        <w:jc w:val="left"/>
        <w:rPr>
          <w:i/>
        </w:rPr>
      </w:pPr>
      <w:r>
        <w:rPr>
          <w:i/>
        </w:rPr>
        <w:t xml:space="preserve">  </w:t>
      </w:r>
    </w:p>
    <w:p w14:paraId="1E04448D" w14:textId="77777777" w:rsidR="00566366" w:rsidRDefault="00566366" w:rsidP="00566366">
      <w:pPr>
        <w:pStyle w:val="Heading2"/>
        <w:rPr>
          <w:i/>
        </w:rPr>
      </w:pPr>
      <w:r>
        <w:t>3. Transformation Action Plan</w:t>
      </w:r>
      <w:r w:rsidRPr="00566366">
        <w:rPr>
          <w:i/>
        </w:rPr>
        <w:t xml:space="preserve"> </w:t>
      </w:r>
    </w:p>
    <w:p w14:paraId="31078566" w14:textId="77777777" w:rsidR="00F844E8" w:rsidRDefault="00F844E8" w:rsidP="00CA14A2">
      <w:pPr>
        <w:rPr>
          <w:i/>
        </w:rPr>
      </w:pPr>
    </w:p>
    <w:p w14:paraId="03631145" w14:textId="77777777" w:rsidR="00F844E8" w:rsidRDefault="00F844E8" w:rsidP="00CA14A2">
      <w:pPr>
        <w:rPr>
          <w:i/>
        </w:rPr>
      </w:pPr>
      <w:r>
        <w:rPr>
          <w:i/>
        </w:rPr>
        <w:t xml:space="preserve">Fortunately, the team has experience of receiving and managing the Textbook Transformation Grant in 2018 for the </w:t>
      </w:r>
      <w:r w:rsidR="00566366">
        <w:rPr>
          <w:i/>
        </w:rPr>
        <w:t xml:space="preserve">Textbook Transformation Grant </w:t>
      </w:r>
      <w:r>
        <w:rPr>
          <w:i/>
        </w:rPr>
        <w:t xml:space="preserve">and has already designed and put in the </w:t>
      </w:r>
      <w:proofErr w:type="spellStart"/>
      <w:r>
        <w:rPr>
          <w:i/>
        </w:rPr>
        <w:t>Soci</w:t>
      </w:r>
      <w:proofErr w:type="spellEnd"/>
      <w:r>
        <w:rPr>
          <w:i/>
        </w:rPr>
        <w:t xml:space="preserve"> 1101 course modules to measure and assess the successful progress for scaling.</w:t>
      </w:r>
    </w:p>
    <w:p w14:paraId="24C68780" w14:textId="2FEBC7F7" w:rsidR="00CA14A2" w:rsidRDefault="00566366" w:rsidP="00CA14A2">
      <w:pPr>
        <w:rPr>
          <w:i/>
        </w:rPr>
      </w:pPr>
      <w:proofErr w:type="gramStart"/>
      <w:r>
        <w:rPr>
          <w:i/>
        </w:rPr>
        <w:t>projects</w:t>
      </w:r>
      <w:proofErr w:type="gramEnd"/>
      <w:r>
        <w:rPr>
          <w:i/>
        </w:rPr>
        <w:t xml:space="preserve"> </w:t>
      </w:r>
      <w:r w:rsidR="00CA14A2">
        <w:rPr>
          <w:i/>
        </w:rPr>
        <w:t xml:space="preserve">can be work-intensive and require project management in order to be successful. This section allows teams to describe how the team will fulfill the goals of the project. Include the following: </w:t>
      </w:r>
    </w:p>
    <w:p w14:paraId="55B57096" w14:textId="77777777" w:rsidR="0081662F" w:rsidRDefault="00CA14A2" w:rsidP="0081662F">
      <w:pPr>
        <w:pStyle w:val="ListParagraph"/>
        <w:numPr>
          <w:ilvl w:val="0"/>
          <w:numId w:val="4"/>
        </w:numPr>
        <w:jc w:val="left"/>
        <w:rPr>
          <w:i/>
        </w:rPr>
      </w:pPr>
      <w:r w:rsidRPr="00CA14A2">
        <w:rPr>
          <w:i/>
        </w:rPr>
        <w:t xml:space="preserve">The </w:t>
      </w:r>
      <w:r w:rsidR="0081662F">
        <w:rPr>
          <w:i/>
        </w:rPr>
        <w:t xml:space="preserve">no-cost textbook to be adopted in the </w:t>
      </w:r>
      <w:proofErr w:type="spellStart"/>
      <w:r w:rsidR="0081662F">
        <w:rPr>
          <w:i/>
        </w:rPr>
        <w:t>Soci</w:t>
      </w:r>
      <w:proofErr w:type="spellEnd"/>
      <w:r w:rsidR="0081662F">
        <w:rPr>
          <w:i/>
        </w:rPr>
        <w:t xml:space="preserve"> 1101 course is The Introduction to Sociology, 2</w:t>
      </w:r>
      <w:r w:rsidR="0081662F" w:rsidRPr="0081662F">
        <w:rPr>
          <w:i/>
          <w:vertAlign w:val="superscript"/>
        </w:rPr>
        <w:t>nd</w:t>
      </w:r>
      <w:r w:rsidR="0081662F">
        <w:rPr>
          <w:i/>
        </w:rPr>
        <w:t xml:space="preserve"> edition (</w:t>
      </w:r>
      <w:hyperlink r:id="rId10" w:history="1">
        <w:r w:rsidR="0081662F" w:rsidRPr="00952751">
          <w:rPr>
            <w:rStyle w:val="Hyperlink"/>
            <w:i/>
          </w:rPr>
          <w:t>https://openstax.org/details/books/introduction-sociology-2e</w:t>
        </w:r>
      </w:hyperlink>
      <w:r w:rsidR="0081662F">
        <w:rPr>
          <w:i/>
        </w:rPr>
        <w:t xml:space="preserve">).  </w:t>
      </w:r>
    </w:p>
    <w:p w14:paraId="4F20B5A2" w14:textId="4787930A" w:rsidR="0081662F" w:rsidRDefault="00CA14A2" w:rsidP="00CA14A2">
      <w:pPr>
        <w:pStyle w:val="ListParagraph"/>
        <w:numPr>
          <w:ilvl w:val="1"/>
          <w:numId w:val="4"/>
        </w:numPr>
        <w:jc w:val="left"/>
        <w:rPr>
          <w:i/>
        </w:rPr>
      </w:pPr>
      <w:r w:rsidRPr="00CA14A2">
        <w:rPr>
          <w:i/>
        </w:rPr>
        <w:t xml:space="preserve">The </w:t>
      </w:r>
      <w:r w:rsidR="0081662F">
        <w:rPr>
          <w:i/>
        </w:rPr>
        <w:t>team of an instructor and the instructional designer have reviewed the textbook and designed the course modules to promote the community-building among students via small group activities and peer reviews and the assignments that are critically engaging with the textbook.</w:t>
      </w:r>
    </w:p>
    <w:p w14:paraId="039DBBEE" w14:textId="4EE36E93" w:rsidR="00CA14A2" w:rsidRDefault="0081662F" w:rsidP="0081662F">
      <w:pPr>
        <w:pStyle w:val="ListParagraph"/>
        <w:numPr>
          <w:ilvl w:val="1"/>
          <w:numId w:val="4"/>
        </w:numPr>
        <w:jc w:val="left"/>
        <w:rPr>
          <w:i/>
        </w:rPr>
      </w:pPr>
      <w:r>
        <w:rPr>
          <w:i/>
        </w:rPr>
        <w:lastRenderedPageBreak/>
        <w:t xml:space="preserve">Both the strength and challenge of using </w:t>
      </w:r>
      <w:proofErr w:type="spellStart"/>
      <w:r>
        <w:rPr>
          <w:i/>
        </w:rPr>
        <w:t>OpenStax</w:t>
      </w:r>
      <w:proofErr w:type="spellEnd"/>
      <w:r>
        <w:rPr>
          <w:i/>
        </w:rPr>
        <w:t xml:space="preserve"> materials like the Introduction to Sociology, 2</w:t>
      </w:r>
      <w:r w:rsidRPr="0081662F">
        <w:rPr>
          <w:i/>
          <w:vertAlign w:val="superscript"/>
        </w:rPr>
        <w:t>nd</w:t>
      </w:r>
      <w:r>
        <w:rPr>
          <w:i/>
        </w:rPr>
        <w:t xml:space="preserve"> edition, is that various chapters have been constantly revised and changed.  However, no instructors are covering the entire chapters of the book in one semester, slight changes and revisions can provide further opportunities for discussions.  </w:t>
      </w:r>
    </w:p>
    <w:p w14:paraId="553F57CD" w14:textId="547639DD" w:rsidR="00CA14A2" w:rsidRDefault="0081662F" w:rsidP="00861E42">
      <w:pPr>
        <w:pStyle w:val="ListParagraph"/>
        <w:numPr>
          <w:ilvl w:val="0"/>
          <w:numId w:val="4"/>
        </w:numPr>
        <w:jc w:val="left"/>
        <w:rPr>
          <w:i/>
        </w:rPr>
      </w:pPr>
      <w:r>
        <w:rPr>
          <w:i/>
        </w:rPr>
        <w:t xml:space="preserve">Along with using the no-cost </w:t>
      </w:r>
      <w:proofErr w:type="spellStart"/>
      <w:r>
        <w:rPr>
          <w:i/>
        </w:rPr>
        <w:t>OpenSyx</w:t>
      </w:r>
      <w:proofErr w:type="spellEnd"/>
      <w:r>
        <w:rPr>
          <w:i/>
        </w:rPr>
        <w:t xml:space="preserve"> textbook in the </w:t>
      </w:r>
      <w:proofErr w:type="spellStart"/>
      <w:r>
        <w:rPr>
          <w:i/>
        </w:rPr>
        <w:t>Soci</w:t>
      </w:r>
      <w:proofErr w:type="spellEnd"/>
      <w:r>
        <w:rPr>
          <w:i/>
        </w:rPr>
        <w:t xml:space="preserve"> 1101 course in more than one campus (in phase 1 of scaling, and all campuses in Phase II), we will incorporate BOTH the national sociological literacy Framework (SLF) by the American Sociological Association and the newly launched College to Career (CTC) competencies at GSU to all modules.  </w:t>
      </w:r>
      <w:proofErr w:type="gramStart"/>
      <w:r>
        <w:rPr>
          <w:i/>
        </w:rPr>
        <w:t>to</w:t>
      </w:r>
      <w:proofErr w:type="gramEnd"/>
      <w:r>
        <w:rPr>
          <w:i/>
        </w:rPr>
        <w:t xml:space="preserve"> various </w:t>
      </w:r>
      <w:proofErr w:type="spellStart"/>
      <w:r>
        <w:rPr>
          <w:i/>
        </w:rPr>
        <w:t>campuses</w:t>
      </w:r>
      <w:r w:rsidR="00CA14A2">
        <w:rPr>
          <w:i/>
        </w:rPr>
        <w:t>Any</w:t>
      </w:r>
      <w:proofErr w:type="spellEnd"/>
      <w:r w:rsidR="00CA14A2">
        <w:rPr>
          <w:i/>
        </w:rPr>
        <w:t xml:space="preserve"> redesign work</w:t>
      </w:r>
      <w:r w:rsidR="00CA14A2" w:rsidRPr="00CA14A2">
        <w:rPr>
          <w:i/>
        </w:rPr>
        <w:t xml:space="preserve"> necessary for the transformation.</w:t>
      </w:r>
    </w:p>
    <w:p w14:paraId="7A18321B" w14:textId="7E3D566B" w:rsidR="00CA14A2" w:rsidRPr="0081662F" w:rsidRDefault="00CA14A2" w:rsidP="009F7A63">
      <w:pPr>
        <w:pStyle w:val="ListParagraph"/>
        <w:numPr>
          <w:ilvl w:val="1"/>
          <w:numId w:val="4"/>
        </w:numPr>
        <w:jc w:val="left"/>
        <w:rPr>
          <w:i/>
        </w:rPr>
      </w:pPr>
      <w:r w:rsidRPr="0081662F">
        <w:rPr>
          <w:i/>
        </w:rPr>
        <w:t xml:space="preserve">This </w:t>
      </w:r>
      <w:r w:rsidR="0081662F" w:rsidRPr="0081662F">
        <w:rPr>
          <w:i/>
        </w:rPr>
        <w:t>incorporation will further strengthen students’ awareness of acquired and marketable sociological skills and knowledge.</w:t>
      </w:r>
    </w:p>
    <w:p w14:paraId="38F9DCDA" w14:textId="6D5439C8" w:rsidR="0081662F" w:rsidRPr="0081662F" w:rsidRDefault="007510FE" w:rsidP="0081662F">
      <w:pPr>
        <w:pStyle w:val="ListParagraph"/>
        <w:numPr>
          <w:ilvl w:val="0"/>
          <w:numId w:val="4"/>
        </w:numPr>
        <w:jc w:val="left"/>
      </w:pPr>
      <w:r>
        <w:rPr>
          <w:i/>
        </w:rPr>
        <w:t>A</w:t>
      </w:r>
      <w:r w:rsidR="0081662F">
        <w:rPr>
          <w:i/>
        </w:rPr>
        <w:t xml:space="preserve"> few selected modules/assignments of </w:t>
      </w:r>
      <w:proofErr w:type="spellStart"/>
      <w:r w:rsidR="0081662F">
        <w:rPr>
          <w:i/>
        </w:rPr>
        <w:t>Soci</w:t>
      </w:r>
      <w:proofErr w:type="spellEnd"/>
      <w:r w:rsidR="0081662F">
        <w:rPr>
          <w:i/>
        </w:rPr>
        <w:t xml:space="preserve"> 1101 may be shared as a university-wide resource for other faculty to use or adapt</w:t>
      </w:r>
      <w:r>
        <w:rPr>
          <w:i/>
        </w:rPr>
        <w:t xml:space="preserve"> to on the CTC website (</w:t>
      </w:r>
      <w:r>
        <w:rPr>
          <w:rFonts w:ascii="Arial" w:hAnsi="Arial" w:cs="Arial"/>
          <w:color w:val="008000"/>
          <w:sz w:val="20"/>
          <w:shd w:val="clear" w:color="auto" w:fill="FFFFFF"/>
        </w:rPr>
        <w:t>https://www.gsu.edu/collegetocareer).</w:t>
      </w:r>
      <w:r>
        <w:rPr>
          <w:i/>
        </w:rPr>
        <w:t xml:space="preserve"> </w:t>
      </w:r>
      <w:r w:rsidR="0081662F">
        <w:rPr>
          <w:i/>
        </w:rPr>
        <w:t xml:space="preserve"> </w:t>
      </w:r>
    </w:p>
    <w:p w14:paraId="1034E2E1" w14:textId="77777777" w:rsidR="0081662F" w:rsidRDefault="0081662F" w:rsidP="0081662F">
      <w:pPr>
        <w:pStyle w:val="ListParagraph"/>
        <w:jc w:val="left"/>
        <w:rPr>
          <w:i/>
        </w:rPr>
      </w:pPr>
    </w:p>
    <w:p w14:paraId="44F37575" w14:textId="77777777" w:rsidR="0081662F" w:rsidRDefault="0081662F" w:rsidP="0081662F">
      <w:pPr>
        <w:pStyle w:val="ListParagraph"/>
        <w:jc w:val="left"/>
        <w:rPr>
          <w:i/>
        </w:rPr>
      </w:pPr>
    </w:p>
    <w:p w14:paraId="08166AE3" w14:textId="57F09E3D" w:rsidR="00CA14A2" w:rsidRPr="0081662F" w:rsidRDefault="00CA14A2" w:rsidP="0081662F">
      <w:pPr>
        <w:jc w:val="left"/>
        <w:rPr>
          <w:rFonts w:asciiTheme="majorHAnsi" w:hAnsiTheme="majorHAnsi" w:cstheme="majorHAnsi"/>
          <w:sz w:val="26"/>
          <w:szCs w:val="26"/>
        </w:rPr>
      </w:pPr>
      <w:r w:rsidRPr="0081662F">
        <w:rPr>
          <w:rFonts w:asciiTheme="majorHAnsi" w:hAnsiTheme="majorHAnsi" w:cstheme="majorHAnsi"/>
          <w:sz w:val="26"/>
          <w:szCs w:val="26"/>
        </w:rPr>
        <w:t>4. Quantitative and Qualitative Measures</w:t>
      </w:r>
    </w:p>
    <w:p w14:paraId="5F0F288E" w14:textId="0CF917B7" w:rsidR="00CA14A2" w:rsidRDefault="00CA14A2" w:rsidP="00CA14A2">
      <w:pPr>
        <w:jc w:val="left"/>
        <w:rPr>
          <w:i/>
        </w:rPr>
      </w:pPr>
      <w:r>
        <w:rPr>
          <w:i/>
        </w:rPr>
        <w:t xml:space="preserve">All </w:t>
      </w:r>
      <w:r w:rsidR="0081662F">
        <w:rPr>
          <w:i/>
        </w:rPr>
        <w:t xml:space="preserve">sections of </w:t>
      </w:r>
      <w:r w:rsidR="007510FE">
        <w:rPr>
          <w:i/>
        </w:rPr>
        <w:t xml:space="preserve">the </w:t>
      </w:r>
      <w:proofErr w:type="spellStart"/>
      <w:r w:rsidR="0081662F">
        <w:rPr>
          <w:i/>
        </w:rPr>
        <w:t>Soci</w:t>
      </w:r>
      <w:proofErr w:type="spellEnd"/>
      <w:r w:rsidR="0081662F">
        <w:rPr>
          <w:i/>
        </w:rPr>
        <w:t xml:space="preserve"> 1101 course that will be using </w:t>
      </w:r>
      <w:r w:rsidR="007D796E">
        <w:rPr>
          <w:i/>
        </w:rPr>
        <w:t xml:space="preserve">the </w:t>
      </w:r>
      <w:proofErr w:type="spellStart"/>
      <w:r w:rsidR="0081662F">
        <w:rPr>
          <w:i/>
        </w:rPr>
        <w:t>OpenStax</w:t>
      </w:r>
      <w:proofErr w:type="spellEnd"/>
      <w:r w:rsidR="0081662F">
        <w:rPr>
          <w:i/>
        </w:rPr>
        <w:t xml:space="preserve"> textbook will be using both quantitative and qualitative measures for </w:t>
      </w:r>
      <w:r>
        <w:rPr>
          <w:i/>
        </w:rPr>
        <w:t>student satisfaction, student performance, and course-level retention (drop/fail/withdraw rates)</w:t>
      </w:r>
      <w:r w:rsidR="0081662F">
        <w:rPr>
          <w:i/>
        </w:rPr>
        <w:t xml:space="preserve"> via </w:t>
      </w:r>
      <w:proofErr w:type="spellStart"/>
      <w:r w:rsidR="0081662F">
        <w:rPr>
          <w:i/>
        </w:rPr>
        <w:t>iCollege</w:t>
      </w:r>
      <w:proofErr w:type="spellEnd"/>
      <w:r w:rsidR="0081662F">
        <w:rPr>
          <w:i/>
        </w:rPr>
        <w:t xml:space="preserve">.  More specifically, the following steps will be implemented on </w:t>
      </w:r>
      <w:proofErr w:type="spellStart"/>
      <w:proofErr w:type="gramStart"/>
      <w:r w:rsidR="0081662F">
        <w:rPr>
          <w:i/>
        </w:rPr>
        <w:t>iCollege</w:t>
      </w:r>
      <w:proofErr w:type="spellEnd"/>
      <w:r w:rsidR="0081662F">
        <w:rPr>
          <w:i/>
        </w:rPr>
        <w:t>.</w:t>
      </w:r>
      <w:r>
        <w:rPr>
          <w:i/>
        </w:rPr>
        <w:t>,</w:t>
      </w:r>
      <w:proofErr w:type="gramEnd"/>
      <w:r>
        <w:rPr>
          <w:i/>
        </w:rPr>
        <w:t xml:space="preserve"> but teams and institutions will do this in varied ways. </w:t>
      </w:r>
      <w:r w:rsidR="00524BE0">
        <w:rPr>
          <w:i/>
        </w:rPr>
        <w:t xml:space="preserve">Outstanding applications will include measures beyond the minimum to gain meaningful insights into the impact of the project. </w:t>
      </w:r>
      <w:r>
        <w:rPr>
          <w:i/>
        </w:rPr>
        <w:t xml:space="preserve">Include the following: </w:t>
      </w:r>
    </w:p>
    <w:p w14:paraId="3B9D6BD0" w14:textId="1F8A5999" w:rsidR="0081662F" w:rsidRPr="0081662F" w:rsidRDefault="0081662F" w:rsidP="00524BE0">
      <w:pPr>
        <w:pStyle w:val="ListParagraph"/>
        <w:numPr>
          <w:ilvl w:val="0"/>
          <w:numId w:val="6"/>
        </w:numPr>
        <w:jc w:val="left"/>
        <w:rPr>
          <w:i/>
        </w:rPr>
      </w:pPr>
      <w:r>
        <w:rPr>
          <w:i/>
          <w:iCs/>
        </w:rPr>
        <w:t xml:space="preserve">In the welcome module, students will be asked to share their opinions and expectations of using the no-cost </w:t>
      </w:r>
      <w:proofErr w:type="spellStart"/>
      <w:r>
        <w:rPr>
          <w:i/>
          <w:iCs/>
        </w:rPr>
        <w:t>Openstax</w:t>
      </w:r>
      <w:proofErr w:type="spellEnd"/>
      <w:r>
        <w:rPr>
          <w:i/>
          <w:iCs/>
        </w:rPr>
        <w:t xml:space="preserve"> textbook (which will generate qualitative data).</w:t>
      </w:r>
    </w:p>
    <w:p w14:paraId="6C00A346" w14:textId="37144289" w:rsidR="0081662F" w:rsidRPr="0081662F" w:rsidRDefault="0081662F" w:rsidP="00524BE0">
      <w:pPr>
        <w:pStyle w:val="ListParagraph"/>
        <w:numPr>
          <w:ilvl w:val="0"/>
          <w:numId w:val="6"/>
        </w:numPr>
        <w:jc w:val="left"/>
        <w:rPr>
          <w:i/>
        </w:rPr>
      </w:pPr>
      <w:r>
        <w:rPr>
          <w:i/>
          <w:iCs/>
        </w:rPr>
        <w:t>Closed to the middle of the semester (and after the first exam or a major quiz), students will be asked to participate in the mid-term reflection (which will generate quantitative data).</w:t>
      </w:r>
    </w:p>
    <w:p w14:paraId="2C37C19F" w14:textId="52B47300" w:rsidR="0081662F" w:rsidRPr="0081662F" w:rsidRDefault="0081662F" w:rsidP="00524BE0">
      <w:pPr>
        <w:pStyle w:val="ListParagraph"/>
        <w:numPr>
          <w:ilvl w:val="0"/>
          <w:numId w:val="6"/>
        </w:numPr>
        <w:jc w:val="left"/>
        <w:rPr>
          <w:i/>
        </w:rPr>
      </w:pPr>
      <w:r>
        <w:rPr>
          <w:i/>
          <w:iCs/>
        </w:rPr>
        <w:t>In the final module, students will be asked to participate at the end of the term evaluation.  Along with this evaluation, students will be encouraged to revise their resume or CV to include newly gained (sociological) skills and knowledge that they can use to build a meaningful career path.</w:t>
      </w:r>
    </w:p>
    <w:p w14:paraId="7C04228B" w14:textId="77777777" w:rsidR="0081662F" w:rsidRPr="0081662F" w:rsidRDefault="0081662F" w:rsidP="00524BE0">
      <w:pPr>
        <w:pStyle w:val="ListParagraph"/>
        <w:numPr>
          <w:ilvl w:val="0"/>
          <w:numId w:val="6"/>
        </w:numPr>
        <w:jc w:val="left"/>
        <w:rPr>
          <w:i/>
        </w:rPr>
      </w:pPr>
      <w:r>
        <w:rPr>
          <w:i/>
          <w:iCs/>
        </w:rPr>
        <w:t xml:space="preserve">And built into </w:t>
      </w:r>
      <w:proofErr w:type="spellStart"/>
      <w:r>
        <w:rPr>
          <w:i/>
          <w:iCs/>
        </w:rPr>
        <w:t>iCollege</w:t>
      </w:r>
      <w:proofErr w:type="spellEnd"/>
      <w:r>
        <w:rPr>
          <w:i/>
          <w:iCs/>
        </w:rPr>
        <w:t xml:space="preserve">, </w:t>
      </w:r>
      <w:proofErr w:type="gramStart"/>
      <w:r>
        <w:rPr>
          <w:i/>
          <w:iCs/>
        </w:rPr>
        <w:t>students</w:t>
      </w:r>
      <w:proofErr w:type="gramEnd"/>
      <w:r>
        <w:rPr>
          <w:i/>
          <w:iCs/>
        </w:rPr>
        <w:t xml:space="preserve"> course-level retention (SWF rates) will be also recorded as well.</w:t>
      </w:r>
    </w:p>
    <w:p w14:paraId="368F0177" w14:textId="5D688BD4" w:rsidR="00524BE0" w:rsidRPr="0081662F" w:rsidRDefault="00524BE0" w:rsidP="0081662F">
      <w:pPr>
        <w:pStyle w:val="ListParagraph"/>
        <w:jc w:val="left"/>
        <w:rPr>
          <w:i/>
        </w:rPr>
      </w:pPr>
    </w:p>
    <w:p w14:paraId="2737F644" w14:textId="77777777" w:rsidR="00524BE0" w:rsidRPr="00524BE0" w:rsidRDefault="00524BE0" w:rsidP="00524BE0">
      <w:pPr>
        <w:pStyle w:val="Heading2"/>
      </w:pPr>
      <w:r>
        <w:t>5. Timeline</w:t>
      </w:r>
    </w:p>
    <w:p w14:paraId="4C9A8B91" w14:textId="77777777" w:rsidR="00AE315A" w:rsidRDefault="00AE315A" w:rsidP="00CC073F">
      <w:pPr>
        <w:jc w:val="left"/>
        <w:rPr>
          <w:i/>
        </w:rPr>
      </w:pPr>
    </w:p>
    <w:p w14:paraId="0CA5DF59" w14:textId="77777777" w:rsidR="00AE315A" w:rsidRDefault="00AE315A" w:rsidP="00CC073F">
      <w:pPr>
        <w:jc w:val="left"/>
        <w:rPr>
          <w:i/>
        </w:rPr>
      </w:pPr>
      <w:r>
        <w:rPr>
          <w:i/>
        </w:rPr>
        <w:t xml:space="preserve">As stated above, we plan to use </w:t>
      </w:r>
      <w:proofErr w:type="gramStart"/>
      <w:r>
        <w:rPr>
          <w:i/>
        </w:rPr>
        <w:t>Spring</w:t>
      </w:r>
      <w:proofErr w:type="gramEnd"/>
      <w:r>
        <w:rPr>
          <w:i/>
        </w:rPr>
        <w:t xml:space="preserve"> and Summer 2020 as the time to prep for launching the (first phase) of departmental scaling in Fall 2020.</w:t>
      </w:r>
    </w:p>
    <w:p w14:paraId="3E01BEF0" w14:textId="6406DFCB" w:rsidR="00AE315A" w:rsidRDefault="00AE315A" w:rsidP="00CC073F">
      <w:pPr>
        <w:jc w:val="left"/>
        <w:rPr>
          <w:i/>
        </w:rPr>
      </w:pPr>
      <w:r>
        <w:rPr>
          <w:i/>
        </w:rPr>
        <w:lastRenderedPageBreak/>
        <w:t xml:space="preserve">That is, we will provide support for new faculty (one on Downtown campus and two on Perimeter campus) who will be using the </w:t>
      </w:r>
      <w:proofErr w:type="spellStart"/>
      <w:r>
        <w:rPr>
          <w:i/>
        </w:rPr>
        <w:t>OpenStax</w:t>
      </w:r>
      <w:proofErr w:type="spellEnd"/>
      <w:r>
        <w:rPr>
          <w:i/>
        </w:rPr>
        <w:t xml:space="preserve"> textbook in </w:t>
      </w:r>
      <w:proofErr w:type="gramStart"/>
      <w:r>
        <w:rPr>
          <w:i/>
        </w:rPr>
        <w:t>Spring</w:t>
      </w:r>
      <w:proofErr w:type="gramEnd"/>
      <w:r>
        <w:rPr>
          <w:i/>
        </w:rPr>
        <w:t xml:space="preserve"> 2020 for the first time.  And since two sessions out of three will be online, they will be using the same course modules that already incorporated the quantitative and qualitative measures of student progresses.  </w:t>
      </w:r>
    </w:p>
    <w:p w14:paraId="231CB4AE" w14:textId="77777777" w:rsidR="00AE315A" w:rsidRDefault="00AE315A" w:rsidP="00CC073F">
      <w:pPr>
        <w:jc w:val="left"/>
        <w:rPr>
          <w:i/>
        </w:rPr>
      </w:pPr>
      <w:r>
        <w:rPr>
          <w:i/>
        </w:rPr>
        <w:t xml:space="preserve">And using summer 2020 to work inter-campus cooperation and training for Graduate Students who will be offering </w:t>
      </w:r>
      <w:proofErr w:type="spellStart"/>
      <w:r>
        <w:rPr>
          <w:i/>
        </w:rPr>
        <w:t>Soci</w:t>
      </w:r>
      <w:proofErr w:type="spellEnd"/>
      <w:r>
        <w:rPr>
          <w:i/>
        </w:rPr>
        <w:t xml:space="preserve"> 1101 in the fall to adopt the no-cost </w:t>
      </w:r>
      <w:proofErr w:type="spellStart"/>
      <w:r>
        <w:rPr>
          <w:i/>
        </w:rPr>
        <w:t>OpenStax</w:t>
      </w:r>
      <w:proofErr w:type="spellEnd"/>
      <w:r>
        <w:rPr>
          <w:i/>
        </w:rPr>
        <w:t xml:space="preserve"> textbook.  </w:t>
      </w:r>
    </w:p>
    <w:p w14:paraId="0EEDF8F8" w14:textId="5A74FCC3" w:rsidR="00AE315A" w:rsidRDefault="00AE315A" w:rsidP="00CC073F">
      <w:pPr>
        <w:jc w:val="left"/>
        <w:rPr>
          <w:i/>
        </w:rPr>
      </w:pPr>
      <w:r>
        <w:rPr>
          <w:i/>
        </w:rPr>
        <w:t>After completing the final semester of scaling in fall 2020, we will submit the final report.</w:t>
      </w:r>
    </w:p>
    <w:p w14:paraId="5511A74B" w14:textId="77777777" w:rsidR="00AE315A" w:rsidRDefault="00AE315A" w:rsidP="00CC073F">
      <w:pPr>
        <w:jc w:val="left"/>
        <w:rPr>
          <w:i/>
        </w:rPr>
      </w:pPr>
    </w:p>
    <w:p w14:paraId="0322F2D4" w14:textId="77777777" w:rsidR="00566366" w:rsidRDefault="00524BE0" w:rsidP="00524BE0">
      <w:pPr>
        <w:pStyle w:val="Heading2"/>
        <w:rPr>
          <w:i/>
        </w:rPr>
      </w:pPr>
      <w:r>
        <w:t>6. Budget</w:t>
      </w:r>
      <w:r w:rsidRPr="00524BE0">
        <w:rPr>
          <w:i/>
        </w:rPr>
        <w:t xml:space="preserve"> </w:t>
      </w:r>
    </w:p>
    <w:p w14:paraId="0E20FCEF" w14:textId="77777777" w:rsidR="00D57011" w:rsidRDefault="00D57011" w:rsidP="00524BE0">
      <w:pPr>
        <w:jc w:val="left"/>
        <w:rPr>
          <w:i/>
        </w:rPr>
      </w:pPr>
    </w:p>
    <w:tbl>
      <w:tblPr>
        <w:tblStyle w:val="TableGrid"/>
        <w:tblW w:w="0" w:type="auto"/>
        <w:tblLook w:val="04A0" w:firstRow="1" w:lastRow="0" w:firstColumn="1" w:lastColumn="0" w:noHBand="0" w:noVBand="1"/>
      </w:tblPr>
      <w:tblGrid>
        <w:gridCol w:w="3505"/>
        <w:gridCol w:w="2160"/>
      </w:tblGrid>
      <w:tr w:rsidR="00C5731C" w14:paraId="4DB22E80" w14:textId="77777777" w:rsidTr="00C5731C">
        <w:tc>
          <w:tcPr>
            <w:tcW w:w="3505" w:type="dxa"/>
          </w:tcPr>
          <w:p w14:paraId="69DAE727" w14:textId="2C6BC226" w:rsidR="00C5731C" w:rsidRDefault="00C5731C" w:rsidP="00D57011">
            <w:pPr>
              <w:jc w:val="left"/>
              <w:rPr>
                <w:i/>
              </w:rPr>
            </w:pPr>
            <w:r>
              <w:rPr>
                <w:i/>
              </w:rPr>
              <w:t>Personnel: Team member 1</w:t>
            </w:r>
          </w:p>
        </w:tc>
        <w:tc>
          <w:tcPr>
            <w:tcW w:w="2160" w:type="dxa"/>
          </w:tcPr>
          <w:p w14:paraId="0DE2A986" w14:textId="0CC9EB30" w:rsidR="00C5731C" w:rsidRDefault="00C5731C" w:rsidP="00524BE0">
            <w:pPr>
              <w:jc w:val="left"/>
              <w:rPr>
                <w:i/>
              </w:rPr>
            </w:pPr>
            <w:r>
              <w:rPr>
                <w:i/>
              </w:rPr>
              <w:t>$ 5,000</w:t>
            </w:r>
          </w:p>
        </w:tc>
      </w:tr>
      <w:tr w:rsidR="00C5731C" w14:paraId="12BAD57A" w14:textId="77777777" w:rsidTr="00C5731C">
        <w:tc>
          <w:tcPr>
            <w:tcW w:w="3505" w:type="dxa"/>
          </w:tcPr>
          <w:p w14:paraId="634DA6AE" w14:textId="6EDC9EC9" w:rsidR="00C5731C" w:rsidRDefault="00C5731C" w:rsidP="00D57011">
            <w:pPr>
              <w:jc w:val="left"/>
              <w:rPr>
                <w:i/>
              </w:rPr>
            </w:pPr>
            <w:r>
              <w:rPr>
                <w:i/>
              </w:rPr>
              <w:t>Personnel: Team member 2</w:t>
            </w:r>
          </w:p>
        </w:tc>
        <w:tc>
          <w:tcPr>
            <w:tcW w:w="2160" w:type="dxa"/>
          </w:tcPr>
          <w:p w14:paraId="350056A0" w14:textId="42F706E8" w:rsidR="00C5731C" w:rsidRDefault="00C5731C" w:rsidP="00524BE0">
            <w:pPr>
              <w:jc w:val="left"/>
              <w:rPr>
                <w:i/>
              </w:rPr>
            </w:pPr>
            <w:r>
              <w:rPr>
                <w:i/>
              </w:rPr>
              <w:t>$ 5,000</w:t>
            </w:r>
          </w:p>
        </w:tc>
      </w:tr>
      <w:tr w:rsidR="00C5731C" w14:paraId="17440EE4" w14:textId="77777777" w:rsidTr="00C5731C">
        <w:tc>
          <w:tcPr>
            <w:tcW w:w="3505" w:type="dxa"/>
          </w:tcPr>
          <w:p w14:paraId="15123535" w14:textId="4F7AC6A3" w:rsidR="00C5731C" w:rsidRDefault="00C5731C" w:rsidP="00524BE0">
            <w:pPr>
              <w:jc w:val="left"/>
              <w:rPr>
                <w:i/>
              </w:rPr>
            </w:pPr>
            <w:r>
              <w:rPr>
                <w:i/>
              </w:rPr>
              <w:t>Travel &amp; Project expenses</w:t>
            </w:r>
          </w:p>
        </w:tc>
        <w:tc>
          <w:tcPr>
            <w:tcW w:w="2160" w:type="dxa"/>
          </w:tcPr>
          <w:p w14:paraId="768FDF5C" w14:textId="57DA7DB4" w:rsidR="00C5731C" w:rsidRDefault="00C5731C" w:rsidP="00524BE0">
            <w:pPr>
              <w:jc w:val="left"/>
              <w:rPr>
                <w:i/>
              </w:rPr>
            </w:pPr>
            <w:r>
              <w:rPr>
                <w:i/>
              </w:rPr>
              <w:t>$ 800</w:t>
            </w:r>
          </w:p>
        </w:tc>
      </w:tr>
      <w:tr w:rsidR="00C5731C" w14:paraId="28B60784" w14:textId="77777777" w:rsidTr="00C5731C">
        <w:tc>
          <w:tcPr>
            <w:tcW w:w="3505" w:type="dxa"/>
          </w:tcPr>
          <w:p w14:paraId="4F9F7A5E" w14:textId="0FA09E07" w:rsidR="00C5731C" w:rsidRDefault="00C5731C" w:rsidP="00524BE0">
            <w:pPr>
              <w:jc w:val="left"/>
              <w:rPr>
                <w:i/>
              </w:rPr>
            </w:pPr>
            <w:r>
              <w:rPr>
                <w:i/>
              </w:rPr>
              <w:t>Project Expenses at CETL</w:t>
            </w:r>
          </w:p>
        </w:tc>
        <w:tc>
          <w:tcPr>
            <w:tcW w:w="2160" w:type="dxa"/>
          </w:tcPr>
          <w:p w14:paraId="34265180" w14:textId="5473C998" w:rsidR="00C5731C" w:rsidRDefault="00C5731C" w:rsidP="00524BE0">
            <w:pPr>
              <w:jc w:val="left"/>
              <w:rPr>
                <w:i/>
              </w:rPr>
            </w:pPr>
            <w:r>
              <w:rPr>
                <w:i/>
              </w:rPr>
              <w:t>$ 4,200</w:t>
            </w:r>
          </w:p>
        </w:tc>
      </w:tr>
      <w:tr w:rsidR="00C5731C" w14:paraId="5F3CE7DC" w14:textId="77777777" w:rsidTr="00C5731C">
        <w:tc>
          <w:tcPr>
            <w:tcW w:w="3505" w:type="dxa"/>
          </w:tcPr>
          <w:p w14:paraId="4615F95D" w14:textId="7E6809F8" w:rsidR="00C5731C" w:rsidRDefault="00C5731C" w:rsidP="00524BE0">
            <w:pPr>
              <w:jc w:val="left"/>
              <w:rPr>
                <w:i/>
              </w:rPr>
            </w:pPr>
            <w:r>
              <w:rPr>
                <w:i/>
              </w:rPr>
              <w:t>Project Expenses at Sociology Dept.</w:t>
            </w:r>
          </w:p>
        </w:tc>
        <w:tc>
          <w:tcPr>
            <w:tcW w:w="2160" w:type="dxa"/>
          </w:tcPr>
          <w:p w14:paraId="540C45AB" w14:textId="26ECA507" w:rsidR="00C5731C" w:rsidRDefault="00C5731C" w:rsidP="00524BE0">
            <w:pPr>
              <w:jc w:val="left"/>
              <w:rPr>
                <w:i/>
              </w:rPr>
            </w:pPr>
            <w:r>
              <w:rPr>
                <w:i/>
              </w:rPr>
              <w:t>$ 15,000</w:t>
            </w:r>
          </w:p>
        </w:tc>
      </w:tr>
      <w:tr w:rsidR="00C5731C" w14:paraId="7EB7CAF3" w14:textId="77777777" w:rsidTr="00C5731C">
        <w:tc>
          <w:tcPr>
            <w:tcW w:w="3505" w:type="dxa"/>
          </w:tcPr>
          <w:p w14:paraId="3E97C3E1" w14:textId="79EBAAA6" w:rsidR="00C5731C" w:rsidRPr="00D57011" w:rsidRDefault="00C5731C" w:rsidP="00524BE0">
            <w:pPr>
              <w:jc w:val="left"/>
              <w:rPr>
                <w:b/>
                <w:i/>
              </w:rPr>
            </w:pPr>
            <w:r w:rsidRPr="00D57011">
              <w:rPr>
                <w:b/>
                <w:i/>
              </w:rPr>
              <w:t>TOTAL</w:t>
            </w:r>
          </w:p>
        </w:tc>
        <w:tc>
          <w:tcPr>
            <w:tcW w:w="2160" w:type="dxa"/>
          </w:tcPr>
          <w:p w14:paraId="5F426A39" w14:textId="1B314496" w:rsidR="00C5731C" w:rsidRPr="00D57011" w:rsidRDefault="00C5731C" w:rsidP="00524BE0">
            <w:pPr>
              <w:jc w:val="left"/>
              <w:rPr>
                <w:b/>
                <w:i/>
              </w:rPr>
            </w:pPr>
            <w:r w:rsidRPr="00D57011">
              <w:rPr>
                <w:b/>
                <w:i/>
              </w:rPr>
              <w:t>$ 30,000</w:t>
            </w:r>
          </w:p>
        </w:tc>
      </w:tr>
    </w:tbl>
    <w:p w14:paraId="474608AF" w14:textId="77777777" w:rsidR="00B959E7" w:rsidRDefault="00B959E7" w:rsidP="00524BE0">
      <w:pPr>
        <w:pStyle w:val="Heading2"/>
      </w:pPr>
    </w:p>
    <w:p w14:paraId="645C9704" w14:textId="2CDD77B4" w:rsidR="00524BE0" w:rsidRDefault="00524BE0" w:rsidP="00524BE0">
      <w:pPr>
        <w:pStyle w:val="Heading2"/>
      </w:pPr>
      <w:r>
        <w:t>7. Sustainability Plan</w:t>
      </w:r>
    </w:p>
    <w:p w14:paraId="76442AEA" w14:textId="77777777" w:rsidR="00AE315A" w:rsidRDefault="00AE315A" w:rsidP="00524BE0">
      <w:pPr>
        <w:jc w:val="left"/>
        <w:rPr>
          <w:i/>
        </w:rPr>
      </w:pPr>
    </w:p>
    <w:p w14:paraId="7E680F4D" w14:textId="5C882A5A" w:rsidR="00AE315A" w:rsidRDefault="00AE315A" w:rsidP="00524BE0">
      <w:pPr>
        <w:jc w:val="left"/>
        <w:rPr>
          <w:i/>
        </w:rPr>
      </w:pPr>
      <w:r>
        <w:rPr>
          <w:i/>
        </w:rPr>
        <w:t xml:space="preserve">As stated above, the departmental scaling efforts will continue after successfully completing the proposed phase of scaling at the end of fall 2020.  </w:t>
      </w:r>
    </w:p>
    <w:p w14:paraId="4253C139" w14:textId="1BBDB0A9" w:rsidR="00524BE0" w:rsidRDefault="00524BE0" w:rsidP="00524BE0">
      <w:pPr>
        <w:pStyle w:val="ListParagraph"/>
        <w:numPr>
          <w:ilvl w:val="0"/>
          <w:numId w:val="7"/>
        </w:numPr>
        <w:jc w:val="left"/>
        <w:rPr>
          <w:i/>
        </w:rPr>
      </w:pPr>
      <w:r>
        <w:rPr>
          <w:i/>
        </w:rPr>
        <w:t xml:space="preserve">The </w:t>
      </w:r>
      <w:r w:rsidR="00AE315A">
        <w:rPr>
          <w:i/>
        </w:rPr>
        <w:t xml:space="preserve">evaluation of revised and </w:t>
      </w:r>
      <w:r>
        <w:rPr>
          <w:i/>
        </w:rPr>
        <w:t>updat</w:t>
      </w:r>
      <w:r w:rsidR="00AE315A">
        <w:rPr>
          <w:i/>
        </w:rPr>
        <w:t xml:space="preserve">ed materials of the </w:t>
      </w:r>
      <w:proofErr w:type="spellStart"/>
      <w:r w:rsidR="00AE315A">
        <w:rPr>
          <w:i/>
        </w:rPr>
        <w:t>OpenStax</w:t>
      </w:r>
      <w:proofErr w:type="spellEnd"/>
      <w:r w:rsidR="00AE315A">
        <w:rPr>
          <w:i/>
        </w:rPr>
        <w:t xml:space="preserve"> textbook</w:t>
      </w:r>
    </w:p>
    <w:p w14:paraId="22288E96" w14:textId="2C9483F0" w:rsidR="00524BE0" w:rsidRDefault="00AE315A" w:rsidP="00524BE0">
      <w:pPr>
        <w:pStyle w:val="ListParagraph"/>
        <w:numPr>
          <w:ilvl w:val="0"/>
          <w:numId w:val="7"/>
        </w:numPr>
        <w:jc w:val="left"/>
        <w:rPr>
          <w:i/>
        </w:rPr>
      </w:pPr>
      <w:r>
        <w:rPr>
          <w:i/>
        </w:rPr>
        <w:t>P</w:t>
      </w:r>
      <w:r w:rsidR="00FD120E">
        <w:rPr>
          <w:i/>
        </w:rPr>
        <w:t xml:space="preserve">ossible expansion of the </w:t>
      </w:r>
      <w:r>
        <w:rPr>
          <w:i/>
        </w:rPr>
        <w:t xml:space="preserve">scaling </w:t>
      </w:r>
      <w:r w:rsidR="00FD120E">
        <w:rPr>
          <w:i/>
        </w:rPr>
        <w:t xml:space="preserve">project </w:t>
      </w:r>
      <w:r>
        <w:rPr>
          <w:i/>
        </w:rPr>
        <w:t>beyond some instructions at two campuses</w:t>
      </w:r>
    </w:p>
    <w:p w14:paraId="08F2D308" w14:textId="086635F6" w:rsidR="00FD120E" w:rsidRDefault="00AE315A" w:rsidP="00524BE0">
      <w:pPr>
        <w:pStyle w:val="ListParagraph"/>
        <w:numPr>
          <w:ilvl w:val="0"/>
          <w:numId w:val="7"/>
        </w:numPr>
        <w:jc w:val="left"/>
        <w:rPr>
          <w:i/>
        </w:rPr>
      </w:pPr>
      <w:r>
        <w:rPr>
          <w:i/>
        </w:rPr>
        <w:t xml:space="preserve">The team will </w:t>
      </w:r>
      <w:r w:rsidR="00FD120E">
        <w:rPr>
          <w:i/>
        </w:rPr>
        <w:t xml:space="preserve">plan for sharing </w:t>
      </w:r>
      <w:r>
        <w:rPr>
          <w:i/>
        </w:rPr>
        <w:t xml:space="preserve">their experience of the textbook transformation and the scaling efforts </w:t>
      </w:r>
      <w:r w:rsidR="00FD120E">
        <w:rPr>
          <w:i/>
        </w:rPr>
        <w:t>through presentations</w:t>
      </w:r>
      <w:r>
        <w:rPr>
          <w:i/>
        </w:rPr>
        <w:t xml:space="preserve"> or </w:t>
      </w:r>
      <w:r w:rsidR="00FD120E">
        <w:rPr>
          <w:i/>
        </w:rPr>
        <w:t>articles</w:t>
      </w:r>
    </w:p>
    <w:p w14:paraId="48348FA6" w14:textId="5E0D1EAC" w:rsidR="00F27AFA" w:rsidRDefault="00F27AFA" w:rsidP="009129D5">
      <w:pPr>
        <w:pStyle w:val="ListParagraph"/>
        <w:numPr>
          <w:ilvl w:val="0"/>
          <w:numId w:val="7"/>
        </w:numPr>
        <w:jc w:val="left"/>
      </w:pPr>
      <w:r w:rsidRPr="00F27AFA">
        <w:rPr>
          <w:rFonts w:ascii="Calibri" w:hAnsi="Calibri" w:cs="Calibri"/>
          <w:i/>
          <w:color w:val="000000"/>
        </w:rPr>
        <w:t xml:space="preserve">And as we continue to work on departmental scaling across campuses, </w:t>
      </w:r>
      <w:r w:rsidRPr="00F27AFA">
        <w:rPr>
          <w:rFonts w:ascii="Calibri" w:hAnsi="Calibri" w:cs="Calibri"/>
          <w:i/>
          <w:color w:val="000000"/>
        </w:rPr>
        <w:t xml:space="preserve">CETL's instructional technologists </w:t>
      </w:r>
      <w:r w:rsidRPr="00F27AFA">
        <w:rPr>
          <w:rFonts w:ascii="Calibri" w:hAnsi="Calibri" w:cs="Calibri"/>
          <w:i/>
          <w:color w:val="000000"/>
        </w:rPr>
        <w:t xml:space="preserve">will be able to provide </w:t>
      </w:r>
      <w:r w:rsidRPr="00F27AFA">
        <w:rPr>
          <w:rFonts w:ascii="Calibri" w:hAnsi="Calibri" w:cs="Calibri"/>
          <w:i/>
          <w:color w:val="000000"/>
        </w:rPr>
        <w:t xml:space="preserve">training on </w:t>
      </w:r>
      <w:proofErr w:type="spellStart"/>
      <w:r w:rsidRPr="00F27AFA">
        <w:rPr>
          <w:rFonts w:ascii="Calibri" w:hAnsi="Calibri" w:cs="Calibri"/>
          <w:i/>
          <w:color w:val="000000"/>
        </w:rPr>
        <w:t>iCollege</w:t>
      </w:r>
      <w:bookmarkStart w:id="0" w:name="_GoBack"/>
      <w:bookmarkEnd w:id="0"/>
      <w:proofErr w:type="spellEnd"/>
    </w:p>
    <w:p w14:paraId="3F152ED1" w14:textId="77777777" w:rsidR="00F27AFA" w:rsidRDefault="00F27AFA" w:rsidP="00FD120E">
      <w:pPr>
        <w:pStyle w:val="Heading2"/>
      </w:pPr>
    </w:p>
    <w:p w14:paraId="669698C5" w14:textId="23779ED6" w:rsidR="00FD120E" w:rsidRDefault="00FD120E" w:rsidP="00FD120E">
      <w:pPr>
        <w:pStyle w:val="Heading2"/>
      </w:pPr>
      <w:r>
        <w:t>Note: Letter of Support</w:t>
      </w:r>
    </w:p>
    <w:p w14:paraId="4B55CC26" w14:textId="77777777" w:rsidR="00AE315A" w:rsidRDefault="00AE315A" w:rsidP="00FD120E">
      <w:pPr>
        <w:jc w:val="left"/>
        <w:rPr>
          <w:i/>
        </w:rPr>
      </w:pPr>
    </w:p>
    <w:p w14:paraId="3A6FA69E" w14:textId="1AF2BB46" w:rsidR="00FD120E" w:rsidRPr="00FD120E" w:rsidRDefault="00FD120E" w:rsidP="00FD120E">
      <w:pPr>
        <w:jc w:val="left"/>
        <w:rPr>
          <w:i/>
        </w:rPr>
      </w:pPr>
      <w:r w:rsidRPr="00FD120E">
        <w:rPr>
          <w:i/>
        </w:rPr>
        <w:lastRenderedPageBreak/>
        <w:t xml:space="preserve">A letter of support </w:t>
      </w:r>
      <w:r w:rsidR="00AE315A">
        <w:rPr>
          <w:i/>
        </w:rPr>
        <w:t xml:space="preserve">from Dr. Eric Wright, Chair of the Department of Sociology at Georgia State University, as </w:t>
      </w:r>
      <w:r w:rsidRPr="00FD120E">
        <w:rPr>
          <w:i/>
        </w:rPr>
        <w:t xml:space="preserve">the sponsoring </w:t>
      </w:r>
      <w:r w:rsidR="00AE315A">
        <w:rPr>
          <w:i/>
        </w:rPr>
        <w:t xml:space="preserve">and </w:t>
      </w:r>
      <w:r w:rsidRPr="00FD120E">
        <w:rPr>
          <w:i/>
        </w:rPr>
        <w:t>responsible for receipt and distribution of funding</w:t>
      </w:r>
      <w:r w:rsidR="00AE315A">
        <w:rPr>
          <w:i/>
        </w:rPr>
        <w:t>, is attached</w:t>
      </w:r>
      <w:r w:rsidRPr="00FD120E">
        <w:rPr>
          <w:i/>
        </w:rPr>
        <w:t xml:space="preserve">.  </w:t>
      </w:r>
    </w:p>
    <w:sectPr w:rsidR="00FD120E" w:rsidRPr="00FD120E" w:rsidSect="00FD120E">
      <w:headerReference w:type="default" r:id="rId11"/>
      <w:head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0525" w14:textId="77777777" w:rsidR="008B0748" w:rsidRDefault="008B0748" w:rsidP="00FD120E">
      <w:pPr>
        <w:spacing w:after="0"/>
      </w:pPr>
      <w:r>
        <w:separator/>
      </w:r>
    </w:p>
  </w:endnote>
  <w:endnote w:type="continuationSeparator" w:id="0">
    <w:p w14:paraId="7F17A2C1" w14:textId="77777777" w:rsidR="008B0748" w:rsidRDefault="008B0748"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D4685" w14:textId="77777777" w:rsidR="008B0748" w:rsidRDefault="008B0748" w:rsidP="00FD120E">
      <w:pPr>
        <w:spacing w:after="0"/>
      </w:pPr>
      <w:r>
        <w:separator/>
      </w:r>
    </w:p>
  </w:footnote>
  <w:footnote w:type="continuationSeparator" w:id="0">
    <w:p w14:paraId="74FA1E7B" w14:textId="77777777" w:rsidR="008B0748" w:rsidRDefault="008B0748"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gtTU2NjczNLSwNDCyUdpeDU4uLM/DyQAqNaANQk6a4sAAAA"/>
  </w:docVars>
  <w:rsids>
    <w:rsidRoot w:val="003C350B"/>
    <w:rsid w:val="00024A78"/>
    <w:rsid w:val="000754D7"/>
    <w:rsid w:val="00114F13"/>
    <w:rsid w:val="00125938"/>
    <w:rsid w:val="00151E0E"/>
    <w:rsid w:val="00251EFC"/>
    <w:rsid w:val="00291B1A"/>
    <w:rsid w:val="00324AAC"/>
    <w:rsid w:val="00382C53"/>
    <w:rsid w:val="003C350B"/>
    <w:rsid w:val="00413F44"/>
    <w:rsid w:val="00431A16"/>
    <w:rsid w:val="004C04A8"/>
    <w:rsid w:val="004C6D54"/>
    <w:rsid w:val="00524BE0"/>
    <w:rsid w:val="0055284A"/>
    <w:rsid w:val="00564EC4"/>
    <w:rsid w:val="00566366"/>
    <w:rsid w:val="005C0D8E"/>
    <w:rsid w:val="005C30D8"/>
    <w:rsid w:val="0063108D"/>
    <w:rsid w:val="00636C78"/>
    <w:rsid w:val="00644D84"/>
    <w:rsid w:val="006D032A"/>
    <w:rsid w:val="00725343"/>
    <w:rsid w:val="007510FE"/>
    <w:rsid w:val="007613E7"/>
    <w:rsid w:val="00767F01"/>
    <w:rsid w:val="007D796E"/>
    <w:rsid w:val="007F6B0C"/>
    <w:rsid w:val="0081662F"/>
    <w:rsid w:val="0082497C"/>
    <w:rsid w:val="008479C9"/>
    <w:rsid w:val="00891FD1"/>
    <w:rsid w:val="008B0748"/>
    <w:rsid w:val="008B62FC"/>
    <w:rsid w:val="00984C21"/>
    <w:rsid w:val="009B70ED"/>
    <w:rsid w:val="009E5664"/>
    <w:rsid w:val="00A02C4A"/>
    <w:rsid w:val="00A964DB"/>
    <w:rsid w:val="00AE315A"/>
    <w:rsid w:val="00B959E7"/>
    <w:rsid w:val="00C5731C"/>
    <w:rsid w:val="00C66AED"/>
    <w:rsid w:val="00C96436"/>
    <w:rsid w:val="00CA14A2"/>
    <w:rsid w:val="00CA58F3"/>
    <w:rsid w:val="00CB323B"/>
    <w:rsid w:val="00CC073F"/>
    <w:rsid w:val="00D57011"/>
    <w:rsid w:val="00D93721"/>
    <w:rsid w:val="00E66F49"/>
    <w:rsid w:val="00EA1089"/>
    <w:rsid w:val="00F27AFA"/>
    <w:rsid w:val="00F5134B"/>
    <w:rsid w:val="00F56A94"/>
    <w:rsid w:val="00F73819"/>
    <w:rsid w:val="00F844E8"/>
    <w:rsid w:val="00FA7598"/>
    <w:rsid w:val="00FD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penstax.org/details/books/introduction-sociology-2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8</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Jung Ha Kim</cp:lastModifiedBy>
  <cp:revision>12</cp:revision>
  <dcterms:created xsi:type="dcterms:W3CDTF">2019-12-31T17:59:00Z</dcterms:created>
  <dcterms:modified xsi:type="dcterms:W3CDTF">2020-01-09T19:21:00Z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